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E1C89" w14:textId="1DAF701B"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 xml:space="preserve">E                       </w:t>
      </w:r>
      <w:r w:rsidRPr="00245D92">
        <w:rPr>
          <w:rFonts w:ascii="Times" w:hAnsi="Times"/>
          <w:b/>
          <w:bCs/>
          <w:sz w:val="22"/>
          <w:szCs w:val="22"/>
        </w:rPr>
        <w:tab/>
      </w:r>
      <w:r w:rsidRPr="00245D92">
        <w:rPr>
          <w:rFonts w:ascii="Times" w:hAnsi="Times"/>
          <w:b/>
          <w:bCs/>
          <w:sz w:val="22"/>
          <w:szCs w:val="22"/>
        </w:rPr>
        <w:tab/>
      </w:r>
      <w:r w:rsidRPr="00245D92">
        <w:rPr>
          <w:rFonts w:ascii="Times" w:hAnsi="Times"/>
          <w:b/>
          <w:bCs/>
          <w:sz w:val="22"/>
          <w:szCs w:val="22"/>
        </w:rPr>
        <w:tab/>
      </w:r>
      <w:r w:rsidR="004D53D5">
        <w:rPr>
          <w:rFonts w:ascii="Times" w:hAnsi="Times"/>
          <w:b/>
          <w:bCs/>
          <w:sz w:val="22"/>
          <w:szCs w:val="22"/>
        </w:rPr>
        <w:t>202</w:t>
      </w:r>
      <w:r w:rsidR="00AF1987">
        <w:rPr>
          <w:rFonts w:ascii="Times" w:hAnsi="Times"/>
          <w:b/>
          <w:bCs/>
          <w:sz w:val="22"/>
          <w:szCs w:val="22"/>
        </w:rPr>
        <w:t>4</w:t>
      </w:r>
      <w:r w:rsidR="004D53D5">
        <w:rPr>
          <w:rFonts w:ascii="Times" w:hAnsi="Times"/>
          <w:b/>
          <w:bCs/>
          <w:sz w:val="22"/>
          <w:szCs w:val="22"/>
        </w:rPr>
        <w:t>-202</w:t>
      </w:r>
      <w:r w:rsidR="00AF1987">
        <w:rPr>
          <w:rFonts w:ascii="Times" w:hAnsi="Times"/>
          <w:b/>
          <w:bCs/>
          <w:sz w:val="22"/>
          <w:szCs w:val="22"/>
        </w:rPr>
        <w:t>5</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DD100D">
        <w:rPr>
          <w:rFonts w:ascii="Times" w:hAnsi="Times"/>
          <w:b/>
          <w:bCs/>
          <w:sz w:val="22"/>
          <w:szCs w:val="22"/>
          <w:highlight w:val="yellow"/>
        </w:rPr>
        <w:t>[</w:t>
      </w:r>
      <w:r w:rsidRPr="00DD100D">
        <w:rPr>
          <w:rFonts w:ascii="Times" w:hAnsi="Times"/>
          <w:b/>
          <w:bCs/>
          <w:caps/>
          <w:sz w:val="22"/>
          <w:szCs w:val="22"/>
          <w:highlight w:val="yellow"/>
        </w:rPr>
        <w:t>établissement</w:t>
      </w:r>
      <w:r w:rsidRPr="00DD100D">
        <w:rPr>
          <w:rFonts w:ascii="Times" w:hAnsi="Times"/>
          <w:b/>
          <w:bCs/>
          <w:sz w:val="22"/>
          <w:szCs w:val="22"/>
          <w:highlight w:val="yellow"/>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4CCDF09" w14:textId="65CCF60F" w:rsidR="00662F2F" w:rsidRPr="00662F2F" w:rsidRDefault="00662F2F" w:rsidP="008D7E84">
      <w:pPr>
        <w:tabs>
          <w:tab w:val="left" w:pos="720"/>
          <w:tab w:val="left" w:pos="1440"/>
          <w:tab w:val="left" w:pos="2160"/>
        </w:tabs>
        <w:autoSpaceDE w:val="0"/>
        <w:autoSpaceDN w:val="0"/>
        <w:jc w:val="center"/>
        <w:outlineLvl w:val="0"/>
        <w:rPr>
          <w:rFonts w:ascii="Times" w:hAnsi="Times"/>
          <w:b/>
          <w:bCs/>
          <w:sz w:val="22"/>
          <w:szCs w:val="22"/>
        </w:rPr>
      </w:pPr>
      <w:r w:rsidRPr="00662F2F">
        <w:rPr>
          <w:b/>
          <w:bCs/>
          <w:sz w:val="22"/>
          <w:szCs w:val="22"/>
          <w:lang w:val="fr-BE" w:eastAsia="fr-BE"/>
        </w:rPr>
        <w:t xml:space="preserve">Lefebvre </w:t>
      </w:r>
      <w:proofErr w:type="spellStart"/>
      <w:r w:rsidRPr="00662F2F">
        <w:rPr>
          <w:b/>
          <w:bCs/>
          <w:sz w:val="22"/>
          <w:szCs w:val="22"/>
          <w:lang w:val="fr-BE" w:eastAsia="fr-BE"/>
        </w:rPr>
        <w:t>Sarrut</w:t>
      </w:r>
      <w:proofErr w:type="spellEnd"/>
      <w:r w:rsidRPr="00662F2F">
        <w:rPr>
          <w:b/>
          <w:bCs/>
          <w:sz w:val="22"/>
          <w:szCs w:val="22"/>
          <w:lang w:val="fr-BE" w:eastAsia="fr-BE"/>
        </w:rPr>
        <w:t xml:space="preserve"> </w:t>
      </w:r>
      <w:proofErr w:type="spellStart"/>
      <w:r w:rsidRPr="00662F2F">
        <w:rPr>
          <w:b/>
          <w:bCs/>
          <w:sz w:val="22"/>
          <w:szCs w:val="22"/>
          <w:lang w:val="fr-BE" w:eastAsia="fr-BE"/>
        </w:rPr>
        <w:t>Belgium</w:t>
      </w:r>
      <w:proofErr w:type="spellEnd"/>
      <w:r w:rsidRPr="00662F2F">
        <w:rPr>
          <w:b/>
          <w:bCs/>
          <w:sz w:val="22"/>
          <w:szCs w:val="22"/>
          <w:lang w:val="fr-BE" w:eastAsia="fr-BE"/>
        </w:rPr>
        <w:t xml:space="preserve"> SA </w:t>
      </w: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52615434"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COUPERIN </w:t>
      </w:r>
      <w:r w:rsidR="004D53D5">
        <w:rPr>
          <w:rFonts w:ascii="Times" w:hAnsi="Times"/>
          <w:b/>
          <w:bCs/>
          <w:sz w:val="22"/>
          <w:szCs w:val="22"/>
        </w:rPr>
        <w:t>STRADA LEX</w:t>
      </w:r>
      <w:r w:rsidR="00A24BAC" w:rsidRPr="00245D92">
        <w:rPr>
          <w:rFonts w:ascii="Times" w:hAnsi="Times"/>
          <w:b/>
          <w:bCs/>
          <w:sz w:val="22"/>
          <w:szCs w:val="22"/>
        </w:rPr>
        <w:t xml:space="preserve"> </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3B2B2149" w:rsidR="00A24BAC" w:rsidRPr="00245D92" w:rsidRDefault="004D53D5">
      <w:pPr>
        <w:jc w:val="center"/>
        <w:rPr>
          <w:rFonts w:ascii="Times" w:hAnsi="Times"/>
          <w:b/>
          <w:bCs/>
          <w:sz w:val="22"/>
          <w:szCs w:val="22"/>
        </w:rPr>
      </w:pPr>
      <w:r>
        <w:rPr>
          <w:rFonts w:ascii="Times" w:hAnsi="Times"/>
          <w:b/>
          <w:bCs/>
          <w:sz w:val="22"/>
          <w:szCs w:val="22"/>
        </w:rPr>
        <w:t>STRADA LEX</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DD100D" w:rsidRDefault="00A24BAC">
      <w:pPr>
        <w:jc w:val="both"/>
        <w:rPr>
          <w:rFonts w:ascii="Times" w:hAnsi="Times"/>
          <w:snapToGrid w:val="0"/>
          <w:color w:val="000000"/>
          <w:sz w:val="22"/>
          <w:szCs w:val="22"/>
          <w:highlight w:val="yellow"/>
        </w:rPr>
      </w:pPr>
      <w:r w:rsidRPr="00DD100D">
        <w:rPr>
          <w:rFonts w:ascii="Times" w:hAnsi="Times"/>
          <w:snapToGrid w:val="0"/>
          <w:color w:val="000000"/>
          <w:sz w:val="22"/>
          <w:szCs w:val="22"/>
          <w:highlight w:val="yellow"/>
        </w:rPr>
        <w:t>[</w:t>
      </w:r>
      <w:r w:rsidRPr="00DD100D">
        <w:rPr>
          <w:rFonts w:ascii="Times" w:hAnsi="Times"/>
          <w:b/>
          <w:bCs/>
          <w:snapToGrid w:val="0"/>
          <w:color w:val="000000"/>
          <w:sz w:val="22"/>
          <w:szCs w:val="22"/>
          <w:highlight w:val="yellow"/>
        </w:rPr>
        <w:t>NOM LEGAL COMPLET DE L’</w:t>
      </w:r>
      <w:r w:rsidRPr="00DD100D">
        <w:rPr>
          <w:rFonts w:ascii="Times" w:hAnsi="Times"/>
          <w:b/>
          <w:bCs/>
          <w:caps/>
          <w:sz w:val="22"/>
          <w:szCs w:val="22"/>
          <w:highlight w:val="yellow"/>
        </w:rPr>
        <w:t>établissement</w:t>
      </w:r>
      <w:r w:rsidRPr="00DD100D">
        <w:rPr>
          <w:rFonts w:ascii="Times" w:hAnsi="Times"/>
          <w:snapToGrid w:val="0"/>
          <w:color w:val="000000"/>
          <w:sz w:val="22"/>
          <w:szCs w:val="22"/>
          <w:highlight w:val="yellow"/>
        </w:rPr>
        <w:t>]</w:t>
      </w:r>
    </w:p>
    <w:p w14:paraId="49A96642" w14:textId="77777777" w:rsidR="00A24BAC" w:rsidRPr="00DD100D" w:rsidRDefault="00A24BAC">
      <w:pPr>
        <w:jc w:val="both"/>
        <w:rPr>
          <w:rFonts w:ascii="Times" w:hAnsi="Times"/>
          <w:snapToGrid w:val="0"/>
          <w:color w:val="000000"/>
          <w:sz w:val="22"/>
          <w:szCs w:val="22"/>
          <w:highlight w:val="yellow"/>
        </w:rPr>
      </w:pPr>
      <w:r w:rsidRPr="00DD100D">
        <w:rPr>
          <w:rFonts w:ascii="Times" w:hAnsi="Times"/>
          <w:snapToGrid w:val="0"/>
          <w:color w:val="000000"/>
          <w:sz w:val="22"/>
          <w:szCs w:val="22"/>
          <w:highlight w:val="yellow"/>
        </w:rPr>
        <w:t>[ADRESSE COMPLETE DE L’</w:t>
      </w:r>
      <w:r w:rsidRPr="00DD100D">
        <w:rPr>
          <w:rFonts w:ascii="Times" w:hAnsi="Times"/>
          <w:caps/>
          <w:sz w:val="22"/>
          <w:szCs w:val="22"/>
          <w:highlight w:val="yellow"/>
        </w:rPr>
        <w:t>établissement</w:t>
      </w:r>
      <w:r w:rsidRPr="00DD100D">
        <w:rPr>
          <w:rFonts w:ascii="Times" w:hAnsi="Times"/>
          <w:snapToGrid w:val="0"/>
          <w:color w:val="000000"/>
          <w:sz w:val="22"/>
          <w:szCs w:val="22"/>
          <w:highlight w:val="yellow"/>
        </w:rPr>
        <w:t>]</w:t>
      </w:r>
    </w:p>
    <w:p w14:paraId="02C4D8EF" w14:textId="77777777" w:rsidR="00A24BAC" w:rsidRPr="00DD100D" w:rsidRDefault="00A24BAC">
      <w:pPr>
        <w:rPr>
          <w:rFonts w:ascii="Times" w:hAnsi="Times"/>
          <w:snapToGrid w:val="0"/>
          <w:color w:val="000000"/>
          <w:sz w:val="22"/>
          <w:szCs w:val="22"/>
          <w:highlight w:val="yellow"/>
        </w:rPr>
      </w:pPr>
      <w:r w:rsidRPr="00DD100D">
        <w:rPr>
          <w:rFonts w:ascii="Times" w:hAnsi="Times"/>
          <w:snapToGrid w:val="0"/>
          <w:color w:val="000000"/>
          <w:sz w:val="22"/>
          <w:szCs w:val="22"/>
          <w:highlight w:val="yellow"/>
        </w:rPr>
        <w:t>N° de SIRET : </w:t>
      </w:r>
    </w:p>
    <w:p w14:paraId="54C2EBF7" w14:textId="77777777" w:rsidR="00A24BAC" w:rsidRPr="00DD100D" w:rsidRDefault="00A24BAC">
      <w:pPr>
        <w:rPr>
          <w:rFonts w:ascii="Times" w:hAnsi="Times"/>
          <w:snapToGrid w:val="0"/>
          <w:color w:val="000000"/>
          <w:sz w:val="22"/>
          <w:szCs w:val="22"/>
          <w:highlight w:val="yellow"/>
        </w:rPr>
      </w:pPr>
      <w:r w:rsidRPr="00DD100D">
        <w:rPr>
          <w:rFonts w:ascii="Times" w:hAnsi="Times"/>
          <w:snapToGrid w:val="0"/>
          <w:color w:val="000000"/>
          <w:sz w:val="22"/>
          <w:szCs w:val="22"/>
          <w:highlight w:val="yellow"/>
        </w:rPr>
        <w:t>Code APE :</w:t>
      </w:r>
    </w:p>
    <w:p w14:paraId="54E343D7" w14:textId="77777777" w:rsidR="00A24BAC" w:rsidRPr="00DD100D" w:rsidRDefault="00A24BAC">
      <w:pPr>
        <w:rPr>
          <w:rFonts w:ascii="Times" w:hAnsi="Times"/>
          <w:sz w:val="22"/>
          <w:szCs w:val="22"/>
          <w:highlight w:val="yellow"/>
        </w:rPr>
      </w:pPr>
      <w:r w:rsidRPr="00DD100D">
        <w:rPr>
          <w:rFonts w:ascii="Times" w:hAnsi="Times"/>
          <w:snapToGrid w:val="0"/>
          <w:color w:val="000000"/>
          <w:sz w:val="22"/>
          <w:szCs w:val="22"/>
          <w:highlight w:val="yellow"/>
        </w:rPr>
        <w:t>TVA intra-communautaire :</w:t>
      </w:r>
      <w:r w:rsidRPr="00DD100D">
        <w:rPr>
          <w:rFonts w:ascii="Times" w:hAnsi="Times"/>
          <w:sz w:val="22"/>
          <w:szCs w:val="22"/>
          <w:highlight w:val="yellow"/>
        </w:rPr>
        <w:br/>
      </w:r>
    </w:p>
    <w:p w14:paraId="2DAE692C" w14:textId="77777777" w:rsidR="00A24BAC" w:rsidRPr="00245D92" w:rsidRDefault="00A24BAC">
      <w:pPr>
        <w:jc w:val="both"/>
        <w:rPr>
          <w:rFonts w:ascii="Times" w:hAnsi="Times"/>
          <w:snapToGrid w:val="0"/>
          <w:color w:val="000000"/>
          <w:sz w:val="22"/>
          <w:szCs w:val="22"/>
        </w:rPr>
      </w:pPr>
      <w:r w:rsidRPr="00DD100D">
        <w:rPr>
          <w:rFonts w:ascii="Times" w:hAnsi="Times"/>
          <w:snapToGrid w:val="0"/>
          <w:color w:val="000000"/>
          <w:sz w:val="22"/>
          <w:szCs w:val="22"/>
          <w:highlight w:val="yellow"/>
        </w:rPr>
        <w:t>Représenté par son [</w:t>
      </w:r>
      <w:r w:rsidRPr="00DD100D">
        <w:rPr>
          <w:rFonts w:ascii="Times" w:hAnsi="Times"/>
          <w:caps/>
          <w:snapToGrid w:val="0"/>
          <w:color w:val="000000"/>
          <w:sz w:val="22"/>
          <w:szCs w:val="22"/>
          <w:highlight w:val="yellow"/>
        </w:rPr>
        <w:t>titre : Président ou Directeur</w:t>
      </w:r>
      <w:r w:rsidRPr="00DD100D">
        <w:rPr>
          <w:rFonts w:ascii="Times" w:hAnsi="Times"/>
          <w:snapToGrid w:val="0"/>
          <w:color w:val="000000"/>
          <w:sz w:val="22"/>
          <w:szCs w:val="22"/>
          <w:highlight w:val="yellow"/>
        </w:rPr>
        <w:t xml:space="preserve">], [NOM DU </w:t>
      </w:r>
      <w:r w:rsidRPr="00DD100D">
        <w:rPr>
          <w:rFonts w:ascii="Times" w:hAnsi="Times"/>
          <w:caps/>
          <w:snapToGrid w:val="0"/>
          <w:color w:val="000000"/>
          <w:sz w:val="22"/>
          <w:szCs w:val="22"/>
          <w:highlight w:val="yellow"/>
        </w:rPr>
        <w:t>Président ou DU Directeur</w:t>
      </w:r>
      <w:r w:rsidRPr="00DD100D">
        <w:rPr>
          <w:rFonts w:ascii="Times" w:hAnsi="Times"/>
          <w:snapToGrid w:val="0"/>
          <w:color w:val="000000"/>
          <w:sz w:val="22"/>
          <w:szCs w:val="22"/>
          <w:highlight w:val="yellow"/>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7182C186" w14:textId="77777777" w:rsidR="008D7E84" w:rsidRPr="00662F2F" w:rsidRDefault="008D7E84" w:rsidP="008D7E84">
      <w:pPr>
        <w:tabs>
          <w:tab w:val="left" w:pos="720"/>
          <w:tab w:val="left" w:pos="1440"/>
          <w:tab w:val="left" w:pos="2160"/>
        </w:tabs>
        <w:autoSpaceDE w:val="0"/>
        <w:autoSpaceDN w:val="0"/>
        <w:outlineLvl w:val="0"/>
        <w:rPr>
          <w:rFonts w:ascii="Times" w:hAnsi="Times"/>
          <w:b/>
          <w:bCs/>
          <w:sz w:val="22"/>
          <w:szCs w:val="22"/>
        </w:rPr>
      </w:pPr>
      <w:r w:rsidRPr="00662F2F">
        <w:rPr>
          <w:b/>
          <w:bCs/>
          <w:sz w:val="22"/>
          <w:szCs w:val="22"/>
          <w:lang w:val="fr-BE" w:eastAsia="fr-BE"/>
        </w:rPr>
        <w:t xml:space="preserve">Lefebvre </w:t>
      </w:r>
      <w:proofErr w:type="spellStart"/>
      <w:r w:rsidRPr="00662F2F">
        <w:rPr>
          <w:b/>
          <w:bCs/>
          <w:sz w:val="22"/>
          <w:szCs w:val="22"/>
          <w:lang w:val="fr-BE" w:eastAsia="fr-BE"/>
        </w:rPr>
        <w:t>Sarrut</w:t>
      </w:r>
      <w:proofErr w:type="spellEnd"/>
      <w:r w:rsidRPr="00662F2F">
        <w:rPr>
          <w:b/>
          <w:bCs/>
          <w:sz w:val="22"/>
          <w:szCs w:val="22"/>
          <w:lang w:val="fr-BE" w:eastAsia="fr-BE"/>
        </w:rPr>
        <w:t xml:space="preserve"> </w:t>
      </w:r>
      <w:proofErr w:type="spellStart"/>
      <w:r w:rsidRPr="00662F2F">
        <w:rPr>
          <w:b/>
          <w:bCs/>
          <w:sz w:val="22"/>
          <w:szCs w:val="22"/>
          <w:lang w:val="fr-BE" w:eastAsia="fr-BE"/>
        </w:rPr>
        <w:t>Belgium</w:t>
      </w:r>
      <w:proofErr w:type="spellEnd"/>
      <w:r w:rsidRPr="00662F2F">
        <w:rPr>
          <w:b/>
          <w:bCs/>
          <w:sz w:val="22"/>
          <w:szCs w:val="22"/>
          <w:lang w:val="fr-BE" w:eastAsia="fr-BE"/>
        </w:rPr>
        <w:t xml:space="preserve"> SA </w:t>
      </w:r>
    </w:p>
    <w:p w14:paraId="0BA554BD" w14:textId="77777777" w:rsidR="004D53D5" w:rsidRPr="00245D92" w:rsidRDefault="004D53D5" w:rsidP="004D53D5">
      <w:pPr>
        <w:jc w:val="both"/>
        <w:rPr>
          <w:rFonts w:ascii="Times" w:hAnsi="Times"/>
          <w:snapToGrid w:val="0"/>
          <w:color w:val="000000"/>
          <w:sz w:val="22"/>
          <w:szCs w:val="22"/>
        </w:rPr>
      </w:pPr>
      <w:r>
        <w:rPr>
          <w:rFonts w:ascii="Times" w:hAnsi="Times"/>
          <w:snapToGrid w:val="0"/>
          <w:color w:val="000000"/>
          <w:sz w:val="22"/>
          <w:szCs w:val="22"/>
        </w:rPr>
        <w:t>Rue Haute 139 boîte 6, 1000 Bruxelles - Belgique</w:t>
      </w:r>
    </w:p>
    <w:p w14:paraId="60B094ED" w14:textId="77777777" w:rsidR="004D53D5" w:rsidRPr="00245D92" w:rsidRDefault="004D53D5" w:rsidP="004D53D5">
      <w:pPr>
        <w:jc w:val="both"/>
        <w:rPr>
          <w:rFonts w:ascii="Times" w:hAnsi="Times"/>
          <w:snapToGrid w:val="0"/>
          <w:color w:val="000000"/>
          <w:sz w:val="22"/>
          <w:szCs w:val="22"/>
        </w:rPr>
      </w:pPr>
      <w:r w:rsidRPr="00245D92">
        <w:rPr>
          <w:rFonts w:ascii="Times" w:hAnsi="Times"/>
          <w:snapToGrid w:val="0"/>
          <w:color w:val="000000"/>
          <w:sz w:val="22"/>
          <w:szCs w:val="22"/>
        </w:rPr>
        <w:t>(</w:t>
      </w:r>
      <w:r>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714E1FC3" w14:textId="77777777" w:rsidR="004D53D5" w:rsidRPr="00245D92" w:rsidRDefault="004D53D5" w:rsidP="004D53D5">
      <w:pPr>
        <w:jc w:val="both"/>
        <w:rPr>
          <w:rFonts w:ascii="Times" w:hAnsi="Times"/>
          <w:snapToGrid w:val="0"/>
          <w:color w:val="000000"/>
          <w:sz w:val="22"/>
          <w:szCs w:val="22"/>
        </w:rPr>
      </w:pPr>
      <w:r w:rsidRPr="00245D92">
        <w:rPr>
          <w:rFonts w:ascii="Times" w:hAnsi="Times"/>
          <w:snapToGrid w:val="0"/>
          <w:color w:val="000000"/>
          <w:sz w:val="22"/>
          <w:szCs w:val="22"/>
        </w:rPr>
        <w:t>Représenté par</w:t>
      </w:r>
    </w:p>
    <w:p w14:paraId="5D25699C" w14:textId="77777777" w:rsidR="004D53D5" w:rsidRPr="00245D92" w:rsidRDefault="004D53D5" w:rsidP="004D53D5">
      <w:pPr>
        <w:jc w:val="both"/>
        <w:rPr>
          <w:rFonts w:ascii="Times" w:hAnsi="Times"/>
          <w:snapToGrid w:val="0"/>
          <w:color w:val="000000"/>
          <w:sz w:val="22"/>
          <w:szCs w:val="22"/>
        </w:rPr>
      </w:pPr>
      <w:r>
        <w:rPr>
          <w:rFonts w:ascii="Times" w:hAnsi="Times"/>
          <w:snapToGrid w:val="0"/>
          <w:color w:val="000000"/>
          <w:sz w:val="22"/>
          <w:szCs w:val="22"/>
        </w:rPr>
        <w:t>Nicolas Waryn</w:t>
      </w:r>
    </w:p>
    <w:p w14:paraId="7F51638E" w14:textId="77777777" w:rsidR="004D53D5" w:rsidRPr="00245D92" w:rsidRDefault="004D53D5" w:rsidP="004D53D5">
      <w:pPr>
        <w:jc w:val="both"/>
        <w:rPr>
          <w:rFonts w:ascii="Times" w:hAnsi="Times"/>
          <w:snapToGrid w:val="0"/>
          <w:color w:val="000000"/>
          <w:sz w:val="22"/>
          <w:szCs w:val="22"/>
        </w:rPr>
      </w:pPr>
      <w:r>
        <w:rPr>
          <w:rFonts w:ascii="Times" w:hAnsi="Times"/>
          <w:snapToGrid w:val="0"/>
          <w:color w:val="000000"/>
          <w:sz w:val="22"/>
          <w:szCs w:val="22"/>
        </w:rPr>
        <w:t>Délégué pédagogique et commercial</w:t>
      </w:r>
    </w:p>
    <w:p w14:paraId="682DCB2F" w14:textId="1302D377" w:rsidR="00A24BAC" w:rsidRPr="00245D92" w:rsidRDefault="00A24BAC">
      <w:pPr>
        <w:jc w:val="both"/>
        <w:rPr>
          <w:rFonts w:ascii="Times" w:hAnsi="Times"/>
          <w:snapToGrid w:val="0"/>
          <w:color w:val="000000"/>
          <w:sz w:val="22"/>
          <w:szCs w:val="22"/>
        </w:rPr>
      </w:pP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 xml:space="preserve">Numéro de Licence </w:t>
      </w:r>
      <w:r w:rsidRPr="00DD100D">
        <w:rPr>
          <w:rFonts w:ascii="Times" w:hAnsi="Times"/>
          <w:b/>
          <w:snapToGrid w:val="0"/>
          <w:color w:val="000000"/>
          <w:sz w:val="22"/>
          <w:szCs w:val="22"/>
          <w:highlight w:val="yellow"/>
        </w:rPr>
        <w:t>______________</w:t>
      </w:r>
    </w:p>
    <w:p w14:paraId="19BD967D" w14:textId="5543973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DD100D">
        <w:rPr>
          <w:rFonts w:ascii="Times" w:hAnsi="Times"/>
          <w:snapToGrid w:val="0"/>
          <w:color w:val="000000"/>
          <w:sz w:val="22"/>
          <w:szCs w:val="22"/>
          <w:highlight w:val="yellow"/>
        </w:rPr>
        <w:t>[x]</w:t>
      </w:r>
      <w:r w:rsidRPr="00245D92">
        <w:rPr>
          <w:rFonts w:ascii="Times" w:hAnsi="Times"/>
          <w:snapToGrid w:val="0"/>
          <w:color w:val="000000"/>
          <w:sz w:val="22"/>
          <w:szCs w:val="22"/>
        </w:rPr>
        <w:t xml:space="preserve"> ans à compter du </w:t>
      </w:r>
      <w:r w:rsidRPr="00DD100D">
        <w:rPr>
          <w:rFonts w:ascii="Times" w:hAnsi="Times"/>
          <w:snapToGrid w:val="0"/>
          <w:color w:val="000000"/>
          <w:sz w:val="22"/>
          <w:szCs w:val="22"/>
          <w:highlight w:val="yellow"/>
        </w:rPr>
        <w:t>[DATE]</w:t>
      </w:r>
      <w:r w:rsidRPr="00245D92">
        <w:rPr>
          <w:rFonts w:ascii="Times" w:hAnsi="Times"/>
          <w:snapToGrid w:val="0"/>
          <w:color w:val="000000"/>
          <w:sz w:val="22"/>
          <w:szCs w:val="22"/>
        </w:rPr>
        <w:t xml:space="preserve"> (ci-après appelée la « Date d’entrée en vigueur ») au </w:t>
      </w:r>
      <w:r w:rsidRPr="00DD100D">
        <w:rPr>
          <w:rFonts w:ascii="Times" w:hAnsi="Times"/>
          <w:snapToGrid w:val="0"/>
          <w:color w:val="000000"/>
          <w:sz w:val="22"/>
          <w:szCs w:val="22"/>
          <w:highlight w:val="yellow"/>
        </w:rPr>
        <w:t>[DATE].</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w:t>
      </w:r>
      <w:bookmarkStart w:id="0" w:name="_GoBack"/>
      <w:bookmarkEnd w:id="0"/>
      <w:r w:rsidRPr="00087460">
        <w:rPr>
          <w:rFonts w:ascii="Times" w:hAnsi="Times"/>
          <w:sz w:val="22"/>
          <w:szCs w:val="22"/>
        </w:rPr>
        <w:t>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w:t>
      </w:r>
      <w:r w:rsidRPr="00DD100D">
        <w:rPr>
          <w:rFonts w:ascii="Times" w:hAnsi="Times"/>
          <w:snapToGrid w:val="0"/>
          <w:color w:val="000000"/>
          <w:sz w:val="22"/>
          <w:szCs w:val="22"/>
          <w:highlight w:val="green"/>
        </w:rPr>
        <w:t>dans l’</w:t>
      </w:r>
      <w:r w:rsidR="00087460" w:rsidRPr="00DD100D">
        <w:rPr>
          <w:rFonts w:ascii="Times" w:hAnsi="Times"/>
          <w:snapToGrid w:val="0"/>
          <w:color w:val="000000"/>
          <w:sz w:val="22"/>
          <w:szCs w:val="22"/>
          <w:highlight w:val="green"/>
        </w:rPr>
        <w:t>a</w:t>
      </w:r>
      <w:r w:rsidRPr="00DD100D">
        <w:rPr>
          <w:rFonts w:ascii="Times" w:hAnsi="Times"/>
          <w:snapToGrid w:val="0"/>
          <w:color w:val="000000"/>
          <w:sz w:val="22"/>
          <w:szCs w:val="22"/>
          <w:highlight w:val="green"/>
        </w:rPr>
        <w:t xml:space="preserve">nnexe </w:t>
      </w:r>
      <w:r w:rsidRPr="00DD100D">
        <w:rPr>
          <w:rFonts w:ascii="Times" w:hAnsi="Times"/>
          <w:snapToGrid w:val="0"/>
          <w:sz w:val="22"/>
          <w:szCs w:val="22"/>
          <w:highlight w:val="green"/>
        </w:rPr>
        <w:t>2</w:t>
      </w:r>
      <w:r w:rsidRPr="00245D92">
        <w:rPr>
          <w:rFonts w:ascii="Times" w:hAnsi="Times"/>
          <w:snapToGrid w:val="0"/>
          <w:sz w:val="22"/>
          <w:szCs w:val="22"/>
        </w:rPr>
        <w:t>.</w:t>
      </w:r>
    </w:p>
    <w:p w14:paraId="2052FBA2" w14:textId="77777777" w:rsidR="00A24BAC" w:rsidRPr="00245D92" w:rsidRDefault="00A24BAC">
      <w:pPr>
        <w:jc w:val="both"/>
        <w:rPr>
          <w:rFonts w:ascii="Times" w:hAnsi="Times"/>
          <w:snapToGrid w:val="0"/>
          <w:color w:val="000000"/>
          <w:sz w:val="22"/>
          <w:szCs w:val="22"/>
        </w:rPr>
      </w:pPr>
    </w:p>
    <w:p w14:paraId="2A8C44AE" w14:textId="7B0C84E2"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 xml:space="preserve">Le Concédant propose par le biais d’Internet des versions électroniques de documents protégés par le droit d’auteur. Ces éléments consistent en </w:t>
      </w:r>
      <w:r w:rsidR="002A0138">
        <w:rPr>
          <w:rFonts w:ascii="Times" w:hAnsi="Times"/>
          <w:snapToGrid w:val="0"/>
          <w:color w:val="000000"/>
          <w:sz w:val="22"/>
          <w:szCs w:val="22"/>
        </w:rPr>
        <w:t>portail du droit européen (législation, revues, livres en ligne)</w:t>
      </w:r>
      <w:r w:rsidR="002A0138" w:rsidRPr="00245D92" w:rsidDel="002A0138">
        <w:rPr>
          <w:rFonts w:ascii="Times" w:hAnsi="Times"/>
          <w:snapToGrid w:val="0"/>
          <w:color w:val="000000"/>
          <w:sz w:val="22"/>
          <w:szCs w:val="22"/>
        </w:rPr>
        <w:t xml:space="preserve"> </w:t>
      </w:r>
      <w:r w:rsidRPr="00245D92">
        <w:rPr>
          <w:rFonts w:ascii="Times" w:hAnsi="Times"/>
          <w:snapToGrid w:val="0"/>
          <w:color w:val="000000"/>
          <w:sz w:val="22"/>
          <w:szCs w:val="22"/>
        </w:rPr>
        <w:t xml:space="preserve">(ci-après appelés « Contenu publié par </w:t>
      </w:r>
      <w:r w:rsidR="002A0138">
        <w:rPr>
          <w:rFonts w:ascii="Times" w:hAnsi="Times"/>
          <w:snapToGrid w:val="0"/>
          <w:color w:val="000000"/>
          <w:sz w:val="22"/>
          <w:szCs w:val="22"/>
        </w:rPr>
        <w:t>le groupe</w:t>
      </w:r>
      <w:r w:rsidR="003237F6" w:rsidRPr="003237F6">
        <w:t xml:space="preserve"> </w:t>
      </w:r>
      <w:r w:rsidR="003237F6" w:rsidRPr="003237F6">
        <w:rPr>
          <w:rFonts w:ascii="Times" w:hAnsi="Times"/>
          <w:snapToGrid w:val="0"/>
          <w:color w:val="000000"/>
          <w:sz w:val="22"/>
          <w:szCs w:val="22"/>
        </w:rPr>
        <w:t xml:space="preserve">Lefebvre </w:t>
      </w:r>
      <w:proofErr w:type="spellStart"/>
      <w:r w:rsidR="003237F6" w:rsidRPr="003237F6">
        <w:rPr>
          <w:rFonts w:ascii="Times" w:hAnsi="Times"/>
          <w:snapToGrid w:val="0"/>
          <w:color w:val="000000"/>
          <w:sz w:val="22"/>
          <w:szCs w:val="22"/>
        </w:rPr>
        <w:t>Sarrut</w:t>
      </w:r>
      <w:proofErr w:type="spellEnd"/>
      <w:r w:rsidR="003237F6" w:rsidRPr="003237F6">
        <w:rPr>
          <w:rFonts w:ascii="Times" w:hAnsi="Times"/>
          <w:snapToGrid w:val="0"/>
          <w:color w:val="000000"/>
          <w:sz w:val="22"/>
          <w:szCs w:val="22"/>
        </w:rPr>
        <w:t xml:space="preserve"> </w:t>
      </w:r>
      <w:proofErr w:type="spellStart"/>
      <w:r w:rsidR="003237F6" w:rsidRPr="003237F6">
        <w:rPr>
          <w:rFonts w:ascii="Times" w:hAnsi="Times"/>
          <w:snapToGrid w:val="0"/>
          <w:color w:val="000000"/>
          <w:sz w:val="22"/>
          <w:szCs w:val="22"/>
        </w:rPr>
        <w:t>Belgium</w:t>
      </w:r>
      <w:proofErr w:type="spellEnd"/>
      <w:r w:rsidR="003237F6" w:rsidRPr="003237F6">
        <w:rPr>
          <w:rFonts w:ascii="Times" w:hAnsi="Times"/>
          <w:snapToGrid w:val="0"/>
          <w:color w:val="000000"/>
          <w:sz w:val="22"/>
          <w:szCs w:val="22"/>
        </w:rPr>
        <w:t xml:space="preserve"> SA</w:t>
      </w:r>
      <w:r w:rsidR="002A0138">
        <w:rPr>
          <w:rFonts w:ascii="Times" w:hAnsi="Times"/>
          <w:snapToGrid w:val="0"/>
          <w:color w:val="000000"/>
          <w:sz w:val="22"/>
          <w:szCs w:val="22"/>
        </w:rPr>
        <w:t xml:space="preserve"> </w:t>
      </w:r>
      <w:r w:rsidRPr="00245D92">
        <w:rPr>
          <w:rFonts w:ascii="Times" w:hAnsi="Times"/>
          <w:snapToGrid w:val="0"/>
          <w:color w:val="000000"/>
          <w:sz w:val="22"/>
          <w:szCs w:val="22"/>
        </w:rPr>
        <w:t xml:space="preserve">»).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2CE47DD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Ces éléments sont disponibles sur </w:t>
      </w:r>
      <w:r w:rsidR="004D0711">
        <w:rPr>
          <w:rFonts w:ascii="Times" w:hAnsi="Times"/>
          <w:snapToGrid w:val="0"/>
          <w:color w:val="000000"/>
          <w:sz w:val="22"/>
          <w:szCs w:val="22"/>
        </w:rPr>
        <w:t>un site web qui référence l’ensemble des contenus disponibles</w:t>
      </w:r>
      <w:r w:rsidR="004D0711" w:rsidRPr="00245D92">
        <w:rPr>
          <w:rFonts w:ascii="Times" w:hAnsi="Times"/>
          <w:snapToGrid w:val="0"/>
          <w:color w:val="000000"/>
          <w:sz w:val="22"/>
          <w:szCs w:val="22"/>
        </w:rPr>
        <w:t xml:space="preserve"> (ci-après nommé(e) « </w:t>
      </w:r>
      <w:r w:rsidR="004D0711">
        <w:rPr>
          <w:rFonts w:ascii="Times" w:hAnsi="Times"/>
          <w:snapToGrid w:val="0"/>
          <w:color w:val="000000"/>
          <w:sz w:val="22"/>
          <w:szCs w:val="22"/>
        </w:rPr>
        <w:t>PLATE-FORME STRADA LEX</w:t>
      </w:r>
      <w:r w:rsidR="004D0711" w:rsidRPr="00245D92">
        <w:rPr>
          <w:rFonts w:ascii="Times" w:hAnsi="Times"/>
          <w:snapToGrid w:val="0"/>
          <w:color w:val="000000"/>
          <w:sz w:val="22"/>
          <w:szCs w:val="22"/>
        </w:rPr>
        <w:t> »)</w:t>
      </w:r>
      <w:r w:rsidRPr="00245D92">
        <w:rPr>
          <w:rFonts w:ascii="Times" w:hAnsi="Times"/>
          <w:snapToGrid w:val="0"/>
          <w:color w:val="000000"/>
          <w:sz w:val="22"/>
          <w:szCs w:val="22"/>
        </w:rPr>
        <w:t xml:space="preserve">.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w:t>
      </w:r>
      <w:r w:rsidRPr="00B26C75">
        <w:rPr>
          <w:rFonts w:ascii="Times" w:hAnsi="Times"/>
          <w:snapToGrid w:val="0"/>
          <w:color w:val="000000"/>
          <w:sz w:val="22"/>
          <w:szCs w:val="22"/>
          <w:highlight w:val="green"/>
        </w:rPr>
        <w:t xml:space="preserve">décrits en </w:t>
      </w:r>
      <w:r w:rsidRPr="00B26C75">
        <w:rPr>
          <w:rFonts w:ascii="Times" w:hAnsi="Times"/>
          <w:bCs/>
          <w:snapToGrid w:val="0"/>
          <w:color w:val="000000"/>
          <w:sz w:val="22"/>
          <w:szCs w:val="22"/>
          <w:highlight w:val="green"/>
        </w:rPr>
        <w:t>Annexe 2</w:t>
      </w:r>
      <w:r w:rsidRPr="00245D92">
        <w:rPr>
          <w:rFonts w:ascii="Times" w:hAnsi="Times"/>
          <w:snapToGrid w:val="0"/>
          <w:color w:val="000000"/>
          <w:sz w:val="22"/>
          <w:szCs w:val="22"/>
        </w:rPr>
        <w:t>.</w:t>
      </w:r>
    </w:p>
    <w:p w14:paraId="51E78A54" w14:textId="77777777" w:rsidR="00AF1987" w:rsidRDefault="00AF1987">
      <w:pPr>
        <w:jc w:val="both"/>
        <w:rPr>
          <w:rFonts w:ascii="Times" w:hAnsi="Times"/>
          <w:snapToGrid w:val="0"/>
          <w:sz w:val="22"/>
          <w:szCs w:val="22"/>
        </w:rPr>
      </w:pPr>
    </w:p>
    <w:p w14:paraId="54602C7E" w14:textId="6E6C7593" w:rsidR="00AB1BAE" w:rsidRPr="00027124" w:rsidRDefault="00AB1BAE">
      <w:pPr>
        <w:jc w:val="both"/>
        <w:rPr>
          <w:rFonts w:ascii="Times" w:hAnsi="Times"/>
          <w:snapToGrid w:val="0"/>
          <w:sz w:val="22"/>
          <w:szCs w:val="22"/>
        </w:rPr>
      </w:pPr>
      <w:r w:rsidRPr="00027124">
        <w:rPr>
          <w:rFonts w:ascii="Times" w:hAnsi="Times"/>
          <w:snapToGrid w:val="0"/>
          <w:sz w:val="22"/>
          <w:szCs w:val="22"/>
        </w:rPr>
        <w:lastRenderedPageBreak/>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proofErr w:type="gramStart"/>
      <w:r w:rsidR="00575F93">
        <w:rPr>
          <w:rFonts w:ascii="Times" w:hAnsi="Times"/>
          <w:sz w:val="22"/>
          <w:szCs w:val="22"/>
        </w:rPr>
        <w:t>Contrat</w:t>
      </w:r>
      <w:r w:rsidRPr="00027124">
        <w:rPr>
          <w:rFonts w:ascii="Times" w:hAnsi="Times"/>
          <w:sz w:val="22"/>
          <w:szCs w:val="22"/>
        </w:rPr>
        <w:t>»</w:t>
      </w:r>
      <w:proofErr w:type="gramEnd"/>
      <w:r w:rsidRPr="00027124">
        <w:rPr>
          <w:rFonts w:ascii="Times" w:hAnsi="Times"/>
          <w:sz w:val="22"/>
          <w:szCs w:val="22"/>
        </w:rPr>
        <w:t>, on entend le présent document et ses annexes, telles que listées ci-dessous :</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 xml:space="preserve">dans les présentes, </w:t>
      </w:r>
      <w:r w:rsidRPr="00DD100D">
        <w:rPr>
          <w:rFonts w:ascii="Times" w:hAnsi="Times"/>
          <w:snapToGrid w:val="0"/>
          <w:color w:val="000000"/>
          <w:sz w:val="22"/>
          <w:szCs w:val="22"/>
          <w:highlight w:val="yellow"/>
        </w:rPr>
        <w:t>[</w:t>
      </w:r>
      <w:r w:rsidRPr="00DD100D">
        <w:rPr>
          <w:rFonts w:ascii="Times" w:hAnsi="Times"/>
          <w:b/>
          <w:bCs/>
          <w:snapToGrid w:val="0"/>
          <w:color w:val="000000"/>
          <w:sz w:val="22"/>
          <w:szCs w:val="22"/>
          <w:highlight w:val="yellow"/>
        </w:rPr>
        <w:t>NOM DE L’</w:t>
      </w:r>
      <w:r w:rsidRPr="00DD100D">
        <w:rPr>
          <w:rFonts w:ascii="Times" w:hAnsi="Times"/>
          <w:b/>
          <w:bCs/>
          <w:caps/>
          <w:sz w:val="22"/>
          <w:szCs w:val="22"/>
          <w:highlight w:val="yellow"/>
        </w:rPr>
        <w:t>établissement</w:t>
      </w:r>
      <w:r w:rsidRPr="00DD100D">
        <w:rPr>
          <w:rFonts w:ascii="Times" w:hAnsi="Times"/>
          <w:snapToGrid w:val="0"/>
          <w:color w:val="000000"/>
          <w:sz w:val="22"/>
          <w:szCs w:val="22"/>
          <w:highlight w:val="yellow"/>
        </w:rPr>
        <w:t>]</w:t>
      </w:r>
      <w:r w:rsidRPr="00245D92">
        <w:rPr>
          <w:rFonts w:ascii="Times" w:hAnsi="Times"/>
          <w:snapToGrid w:val="0"/>
          <w:color w:val="000000"/>
          <w:sz w:val="22"/>
          <w:szCs w:val="22"/>
        </w:rPr>
        <w:t xml:space="preserve">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 xml:space="preserve">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w:t>
      </w:r>
      <w:proofErr w:type="spellStart"/>
      <w:r w:rsidRPr="00245D92">
        <w:rPr>
          <w:rFonts w:ascii="Times" w:hAnsi="Times"/>
          <w:sz w:val="22"/>
          <w:szCs w:val="22"/>
        </w:rPr>
        <w:t>co</w:t>
      </w:r>
      <w:proofErr w:type="spellEnd"/>
      <w:r w:rsidRPr="00245D92">
        <w:rPr>
          <w:rFonts w:ascii="Times" w:hAnsi="Times"/>
          <w:sz w:val="22"/>
          <w:szCs w:val="22"/>
        </w:rPr>
        <w:t>-habilité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t>
      </w:r>
      <w:proofErr w:type="spellStart"/>
      <w:r w:rsidR="00A24BAC" w:rsidRPr="00F31F19">
        <w:rPr>
          <w:rFonts w:ascii="Times" w:hAnsi="Times"/>
          <w:sz w:val="22"/>
          <w:szCs w:val="22"/>
        </w:rPr>
        <w:t>walk</w:t>
      </w:r>
      <w:proofErr w:type="spellEnd"/>
      <w:r w:rsidR="00A24BAC" w:rsidRPr="00F31F19">
        <w:rPr>
          <w:rFonts w:ascii="Times" w:hAnsi="Times"/>
          <w:sz w:val="22"/>
          <w:szCs w:val="22"/>
        </w:rPr>
        <w:t xml:space="preserve">-in </w:t>
      </w:r>
      <w:proofErr w:type="spellStart"/>
      <w:r w:rsidR="00A24BAC" w:rsidRPr="00F31F19">
        <w:rPr>
          <w:rFonts w:ascii="Times" w:hAnsi="Times"/>
          <w:sz w:val="22"/>
          <w:szCs w:val="22"/>
        </w:rPr>
        <w:t>users</w:t>
      </w:r>
      <w:proofErr w:type="spellEnd"/>
      <w:r w:rsidR="00A24BAC" w:rsidRPr="00F31F19">
        <w:rPr>
          <w:rFonts w:ascii="Times" w:hAnsi="Times"/>
          <w:sz w:val="22"/>
          <w:szCs w:val="22"/>
        </w:rPr>
        <w:t>)</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w:t>
      </w:r>
      <w:r w:rsidRPr="00DD100D">
        <w:rPr>
          <w:rFonts w:ascii="Times" w:hAnsi="Times"/>
          <w:snapToGrid w:val="0"/>
          <w:color w:val="000000"/>
          <w:sz w:val="22"/>
          <w:szCs w:val="22"/>
          <w:highlight w:val="green"/>
        </w:rPr>
        <w:t>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0F325100"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w:t>
      </w:r>
      <w:r w:rsidRPr="00DD100D">
        <w:rPr>
          <w:rFonts w:ascii="Times" w:hAnsi="Times"/>
          <w:sz w:val="22"/>
          <w:szCs w:val="22"/>
          <w:highlight w:val="green"/>
        </w:rPr>
        <w:t>l’Annexe 3</w:t>
      </w:r>
      <w:r w:rsidRPr="00660E29">
        <w:rPr>
          <w:rFonts w:ascii="Times" w:hAnsi="Times"/>
          <w:sz w:val="22"/>
          <w:szCs w:val="22"/>
        </w:rPr>
        <w:t xml:space="preserve">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40700F44" w:rsidR="00A24BAC" w:rsidRPr="00660E29" w:rsidRDefault="00A24BAC">
      <w:pPr>
        <w:jc w:val="both"/>
        <w:rPr>
          <w:rFonts w:ascii="Times" w:hAnsi="Times"/>
          <w:sz w:val="22"/>
          <w:szCs w:val="22"/>
        </w:rPr>
      </w:pPr>
      <w:r w:rsidRPr="00660E29">
        <w:rPr>
          <w:rFonts w:ascii="Times" w:hAnsi="Times"/>
          <w:sz w:val="22"/>
          <w:szCs w:val="22"/>
        </w:rPr>
        <w:lastRenderedPageBreak/>
        <w:t xml:space="preserve">L’accès à distance, sécurisé et en mode « nomade », est contrôlé par </w:t>
      </w:r>
      <w:r w:rsidRPr="00C95717">
        <w:rPr>
          <w:rFonts w:ascii="Times" w:hAnsi="Times"/>
          <w:sz w:val="22"/>
          <w:szCs w:val="22"/>
        </w:rPr>
        <w:t>l’Abonné</w:t>
      </w:r>
      <w:r w:rsidRPr="00660E29">
        <w:rPr>
          <w:rFonts w:ascii="Times" w:hAnsi="Times"/>
          <w:sz w:val="22"/>
          <w:szCs w:val="22"/>
        </w:rPr>
        <w:t xml:space="preserve"> à l’aide d’un système SSO (Single </w:t>
      </w:r>
      <w:proofErr w:type="spellStart"/>
      <w:r w:rsidRPr="00660E29">
        <w:rPr>
          <w:rFonts w:ascii="Times" w:hAnsi="Times"/>
          <w:sz w:val="22"/>
          <w:szCs w:val="22"/>
        </w:rPr>
        <w:t>Sign</w:t>
      </w:r>
      <w:proofErr w:type="spellEnd"/>
      <w:r w:rsidRPr="00660E29">
        <w:rPr>
          <w:rFonts w:ascii="Times" w:hAnsi="Times"/>
          <w:sz w:val="22"/>
          <w:szCs w:val="22"/>
        </w:rPr>
        <w:t xml:space="preserve"> 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62A6482F" w:rsidR="00A24BAC" w:rsidRPr="00660E29" w:rsidRDefault="00A24BAC">
      <w:pPr>
        <w:jc w:val="both"/>
        <w:rPr>
          <w:rFonts w:ascii="Times" w:hAnsi="Times"/>
          <w:sz w:val="22"/>
          <w:szCs w:val="22"/>
        </w:rPr>
      </w:pPr>
      <w:r w:rsidRPr="00660E29">
        <w:rPr>
          <w:rFonts w:ascii="Times" w:hAnsi="Times"/>
          <w:sz w:val="22"/>
          <w:szCs w:val="22"/>
        </w:rPr>
        <w:t xml:space="preserve">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560C3243"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xml:space="preserve">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2ED79C41"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xml:space="preserve">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4089FD08" w:rsidR="00A24BAC" w:rsidRPr="00F022DA" w:rsidRDefault="00A24BAC">
      <w:pPr>
        <w:jc w:val="both"/>
        <w:rPr>
          <w:rFonts w:ascii="Times" w:hAnsi="Times"/>
          <w:sz w:val="22"/>
          <w:szCs w:val="22"/>
        </w:rPr>
      </w:pPr>
      <w:r w:rsidRPr="00660E29">
        <w:rPr>
          <w:rFonts w:ascii="Times" w:hAnsi="Times"/>
          <w:sz w:val="22"/>
          <w:szCs w:val="22"/>
        </w:rPr>
        <w:t xml:space="preserve">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 xml:space="preserve">désigne la période d'ouverture des accès aux produits sous licence tels que décrits dans </w:t>
      </w:r>
      <w:r w:rsidR="00F022DA" w:rsidRPr="00D80FB2">
        <w:rPr>
          <w:rFonts w:ascii="Times" w:hAnsi="Times"/>
          <w:sz w:val="22"/>
          <w:szCs w:val="22"/>
          <w:highlight w:val="green"/>
        </w:rPr>
        <w:t>l'Annexe 2</w:t>
      </w:r>
      <w:r w:rsidR="00F022DA" w:rsidRPr="00327C5B">
        <w:rPr>
          <w:rFonts w:ascii="Times" w:hAnsi="Times"/>
          <w:sz w:val="22"/>
          <w:szCs w:val="22"/>
        </w:rPr>
        <w:t>.</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6E2374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xml:space="preserve">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2BBA415"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1.2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xml:space="preserve">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4FC4A88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1.3 Si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321DDDA8"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w:t>
      </w:r>
      <w:r w:rsidRPr="00D80FB2">
        <w:rPr>
          <w:rFonts w:ascii="Times" w:hAnsi="Times"/>
          <w:sz w:val="22"/>
          <w:szCs w:val="22"/>
          <w:highlight w:val="green"/>
        </w:rPr>
        <w:t>l’Annexe 3</w:t>
      </w:r>
      <w:r w:rsidRPr="00660E29">
        <w:rPr>
          <w:rFonts w:ascii="Times" w:hAnsi="Times"/>
          <w:sz w:val="22"/>
          <w:szCs w:val="22"/>
        </w:rPr>
        <w:t xml:space="preserve">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64A099A4"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comme par exemple les produits VPN, les systèmes SSO (Single </w:t>
      </w:r>
      <w:proofErr w:type="spellStart"/>
      <w:r w:rsidRPr="00660E29">
        <w:rPr>
          <w:rFonts w:ascii="Times" w:hAnsi="Times"/>
          <w:sz w:val="22"/>
          <w:szCs w:val="22"/>
        </w:rPr>
        <w:t>Sign</w:t>
      </w:r>
      <w:proofErr w:type="spellEnd"/>
      <w:r w:rsidRPr="00660E29">
        <w:rPr>
          <w:rFonts w:ascii="Times" w:hAnsi="Times"/>
          <w:sz w:val="22"/>
          <w:szCs w:val="22"/>
        </w:rPr>
        <w:t xml:space="preserve">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00330C63" w:rsidR="00A24BAC" w:rsidRDefault="00A24BAC">
      <w:pPr>
        <w:jc w:val="both"/>
        <w:rPr>
          <w:rFonts w:ascii="Times" w:hAnsi="Times"/>
          <w:snapToGrid w:val="0"/>
          <w:sz w:val="22"/>
          <w:szCs w:val="22"/>
        </w:rPr>
      </w:pPr>
      <w:r w:rsidRPr="00B5218C">
        <w:rPr>
          <w:rFonts w:ascii="Times" w:hAnsi="Times"/>
          <w:snapToGrid w:val="0"/>
          <w:color w:val="000000"/>
          <w:sz w:val="22"/>
          <w:szCs w:val="22"/>
        </w:rPr>
        <w:t>La reproduction et le stockage sont limités à des exemplaires uniques d’un nombre raisonnable d’articles distincts. Il n’est pas permis aux Utilisateurs autorisés de reproduire et de stocker</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1DFEBC08" w14:textId="77777777" w:rsidR="008F0000"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sidR="008F0000" w:rsidRPr="008F0000">
        <w:t xml:space="preserve"> </w:t>
      </w:r>
      <w:r w:rsidR="008F0000" w:rsidRPr="008F0000">
        <w:rPr>
          <w:rFonts w:ascii="Times" w:hAnsi="Times"/>
          <w:snapToGrid w:val="0"/>
          <w:color w:val="000000"/>
          <w:sz w:val="22"/>
          <w:szCs w:val="22"/>
        </w:rPr>
        <w:t>et à l’ordonnance n° 2021-1518 du 24 novembre 2021</w:t>
      </w:r>
      <w:r w:rsidR="008F0000">
        <w:rPr>
          <w:rStyle w:val="Appelnotedebasdep"/>
          <w:rFonts w:ascii="Times" w:hAnsi="Times"/>
          <w:snapToGrid w:val="0"/>
          <w:color w:val="000000"/>
          <w:sz w:val="22"/>
          <w:szCs w:val="22"/>
        </w:rPr>
        <w:footnoteReference w:id="3"/>
      </w:r>
      <w:r>
        <w:rPr>
          <w:rFonts w:ascii="Times" w:hAnsi="Times"/>
          <w:snapToGrid w:val="0"/>
          <w:color w:val="000000"/>
          <w:sz w:val="22"/>
          <w:szCs w:val="22"/>
        </w:rPr>
        <w:t xml:space="preserve">. </w:t>
      </w:r>
    </w:p>
    <w:p w14:paraId="3C42BC5E" w14:textId="01EA8BB8"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Pour cela, accéder en continu et de manière automatique aux contenus sous licence, pour en extraire, indexer et/ou traiter des informations provenant des contenus, charger et intégrer les résultats sur un serveur utilisé pour le système de </w:t>
      </w:r>
      <w:proofErr w:type="spellStart"/>
      <w:r>
        <w:rPr>
          <w:rFonts w:ascii="Times" w:hAnsi="Times"/>
          <w:snapToGrid w:val="0"/>
          <w:color w:val="000000"/>
          <w:sz w:val="22"/>
          <w:szCs w:val="22"/>
        </w:rPr>
        <w:t>text-mining</w:t>
      </w:r>
      <w:proofErr w:type="spellEnd"/>
      <w:r>
        <w:rPr>
          <w:rFonts w:ascii="Times" w:hAnsi="Times"/>
          <w:snapToGrid w:val="0"/>
          <w:color w:val="000000"/>
          <w:sz w:val="22"/>
          <w:szCs w:val="22"/>
        </w:rPr>
        <w:t xml:space="preserve"> des utilisateurs autorisés, distribuer à l’extérieur les résultats de la recherche </w:t>
      </w:r>
      <w:proofErr w:type="spellStart"/>
      <w:r w:rsidR="00BF2603">
        <w:rPr>
          <w:rFonts w:ascii="Times" w:hAnsi="Times"/>
          <w:snapToGrid w:val="0"/>
          <w:color w:val="000000"/>
          <w:sz w:val="22"/>
          <w:szCs w:val="22"/>
        </w:rPr>
        <w:t>Text</w:t>
      </w:r>
      <w:proofErr w:type="spellEnd"/>
      <w:r w:rsidR="00BF2603">
        <w:rPr>
          <w:rFonts w:ascii="Times" w:hAnsi="Times"/>
          <w:snapToGrid w:val="0"/>
          <w:color w:val="000000"/>
          <w:sz w:val="22"/>
          <w:szCs w:val="22"/>
        </w:rPr>
        <w:t xml:space="preserve">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proofErr w:type="spellStart"/>
      <w:r w:rsidR="003A695A">
        <w:rPr>
          <w:rFonts w:ascii="Times" w:hAnsi="Times"/>
          <w:snapToGrid w:val="0"/>
          <w:color w:val="000000"/>
          <w:sz w:val="22"/>
          <w:szCs w:val="22"/>
        </w:rPr>
        <w:t>T</w:t>
      </w:r>
      <w:r w:rsidR="00317808">
        <w:rPr>
          <w:rFonts w:ascii="Times" w:hAnsi="Times"/>
          <w:snapToGrid w:val="0"/>
          <w:color w:val="000000"/>
          <w:sz w:val="22"/>
          <w:szCs w:val="22"/>
        </w:rPr>
        <w:t>ext</w:t>
      </w:r>
      <w:proofErr w:type="spellEnd"/>
      <w:r w:rsidR="00317808">
        <w:rPr>
          <w:rFonts w:ascii="Times" w:hAnsi="Times"/>
          <w:snapToGrid w:val="0"/>
          <w:color w:val="000000"/>
          <w:sz w:val="22"/>
          <w:szCs w:val="22"/>
        </w:rPr>
        <w:t xml:space="preserve"> </w:t>
      </w:r>
      <w:r w:rsidR="003A695A">
        <w:rPr>
          <w:rFonts w:ascii="Times" w:hAnsi="Times"/>
          <w:snapToGrid w:val="0"/>
          <w:color w:val="000000"/>
          <w:sz w:val="22"/>
          <w:szCs w:val="22"/>
        </w:rPr>
        <w:t xml:space="preserve">&amp; Data </w:t>
      </w:r>
      <w:proofErr w:type="spellStart"/>
      <w:r w:rsidR="00317808">
        <w:rPr>
          <w:rFonts w:ascii="Times" w:hAnsi="Times"/>
          <w:snapToGrid w:val="0"/>
          <w:color w:val="000000"/>
          <w:sz w:val="22"/>
          <w:szCs w:val="22"/>
        </w:rPr>
        <w:t>mining</w:t>
      </w:r>
      <w:proofErr w:type="spellEnd"/>
      <w:r w:rsidR="00317808">
        <w:rPr>
          <w:rFonts w:ascii="Times" w:hAnsi="Times"/>
          <w:snapToGrid w:val="0"/>
          <w:color w:val="000000"/>
          <w:sz w:val="22"/>
          <w:szCs w:val="22"/>
        </w:rPr>
        <w:t xml:space="preserve">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578C5A07" w:rsidR="00A24BAC" w:rsidRPr="00B5218C" w:rsidRDefault="00B5218C">
      <w:pPr>
        <w:pStyle w:val="Corpsdetexte2"/>
        <w:rPr>
          <w:rFonts w:ascii="Times" w:hAnsi="Times"/>
          <w:color w:val="auto"/>
          <w:szCs w:val="22"/>
        </w:rPr>
      </w:pPr>
      <w:r w:rsidRPr="00C95717">
        <w:rPr>
          <w:rFonts w:ascii="Times" w:hAnsi="Times"/>
          <w:snapToGrid w:val="0"/>
          <w:color w:val="000000"/>
          <w:szCs w:val="22"/>
        </w:rPr>
        <w:t>L’Abonné</w:t>
      </w:r>
      <w:r w:rsidR="00A24BAC" w:rsidRPr="00B5218C">
        <w:rPr>
          <w:rFonts w:ascii="Times" w:hAnsi="Times"/>
          <w:snapToGrid w:val="0"/>
          <w:color w:val="000000"/>
          <w:szCs w:val="22"/>
        </w:rPr>
        <w:t xml:space="preserve"> </w:t>
      </w:r>
      <w:r w:rsidR="00A24BAC"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w:t>
      </w:r>
      <w:proofErr w:type="spellStart"/>
      <w:r w:rsidR="000839F5" w:rsidRPr="00B5218C">
        <w:rPr>
          <w:rFonts w:ascii="Times" w:hAnsi="Times"/>
          <w:color w:val="auto"/>
          <w:szCs w:val="22"/>
        </w:rPr>
        <w:t>tools</w:t>
      </w:r>
      <w:proofErr w:type="spellEnd"/>
      <w:r w:rsidR="00A24BAC" w:rsidRPr="00B5218C">
        <w:rPr>
          <w:rFonts w:ascii="Times" w:hAnsi="Times"/>
          <w:color w:val="auto"/>
          <w:szCs w:val="22"/>
        </w:rPr>
        <w:t xml:space="preserve"> décrits dans une fiche technique contenant les éléments permettant de contrôler les limitations d'accès (</w:t>
      </w:r>
      <w:r w:rsidR="00A24BAC" w:rsidRPr="00B5218C">
        <w:rPr>
          <w:rFonts w:ascii="Times" w:hAnsi="Times"/>
          <w:bCs/>
          <w:color w:val="auto"/>
          <w:szCs w:val="22"/>
        </w:rPr>
        <w:t>Annexe 3</w:t>
      </w:r>
      <w:r w:rsidR="00A24BAC" w:rsidRPr="00B5218C">
        <w:rPr>
          <w:rFonts w:ascii="Times" w:hAnsi="Times"/>
          <w:color w:val="auto"/>
          <w:szCs w:val="22"/>
        </w:rPr>
        <w:t xml:space="preserve"> du </w:t>
      </w:r>
      <w:r w:rsidR="00575F93">
        <w:rPr>
          <w:rFonts w:ascii="Times" w:hAnsi="Times"/>
          <w:color w:val="auto"/>
          <w:szCs w:val="22"/>
        </w:rPr>
        <w:t>Contrat</w:t>
      </w:r>
      <w:r w:rsidR="00A24BAC" w:rsidRPr="00B5218C">
        <w:rPr>
          <w:rFonts w:ascii="Times" w:hAnsi="Times"/>
          <w:color w:val="auto"/>
          <w:szCs w:val="22"/>
        </w:rPr>
        <w:t xml:space="preserve"> de Licence) pour l'accès aux </w:t>
      </w:r>
      <w:r w:rsidR="00A24BAC" w:rsidRPr="00B5218C">
        <w:rPr>
          <w:rFonts w:ascii="Times" w:hAnsi="Times"/>
          <w:snapToGrid w:val="0"/>
          <w:color w:val="000000"/>
          <w:szCs w:val="22"/>
        </w:rPr>
        <w:t>Éléments sous Licence</w:t>
      </w:r>
      <w:r w:rsidR="00A24BAC"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4"/>
      </w:r>
      <w:r w:rsidRPr="003A526C">
        <w:rPr>
          <w:rFonts w:ascii="Times" w:hAnsi="Times"/>
          <w:snapToGrid w:val="0"/>
          <w:sz w:val="22"/>
          <w:szCs w:val="22"/>
        </w:rPr>
        <w:t xml:space="preserve"> par rapport au dépôt en Archives ouvertes aussi bien en termes d’</w:t>
      </w:r>
      <w:proofErr w:type="spellStart"/>
      <w:r w:rsidRPr="003A526C">
        <w:rPr>
          <w:rFonts w:ascii="Times" w:hAnsi="Times"/>
          <w:snapToGrid w:val="0"/>
          <w:sz w:val="22"/>
          <w:szCs w:val="22"/>
        </w:rPr>
        <w:t>auto-archivage</w:t>
      </w:r>
      <w:proofErr w:type="spellEnd"/>
      <w:r w:rsidRPr="003A526C">
        <w:rPr>
          <w:rFonts w:ascii="Times" w:hAnsi="Times"/>
          <w:snapToGrid w:val="0"/>
          <w:sz w:val="22"/>
          <w:szCs w:val="22"/>
        </w:rPr>
        <w:t xml:space="preserv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5EB5AAB0" w:rsidR="00A24BAC" w:rsidRPr="0006107A" w:rsidRDefault="00A24BAC" w:rsidP="00A24BAC">
      <w:pPr>
        <w:pStyle w:val="Corpsdetexte2"/>
        <w:rPr>
          <w:rFonts w:ascii="Times" w:hAnsi="Times"/>
          <w:color w:val="auto"/>
          <w:szCs w:val="22"/>
        </w:rPr>
      </w:pPr>
      <w:r w:rsidRPr="0006107A">
        <w:rPr>
          <w:rFonts w:ascii="Times" w:hAnsi="Times"/>
          <w:color w:val="auto"/>
          <w:szCs w:val="22"/>
        </w:rPr>
        <w:lastRenderedPageBreak/>
        <w:t xml:space="preserve">Lorsqu’il a mis en place au sein de son établissement un logiciel anti-plagiat, ou s’il utilise les services d’une plate-forme anti-plagiat, </w:t>
      </w:r>
      <w:r w:rsidRPr="00C95717">
        <w:rPr>
          <w:rFonts w:ascii="Times" w:hAnsi="Times"/>
          <w:color w:val="auto"/>
          <w:szCs w:val="22"/>
        </w:rPr>
        <w:t>l’Abonné</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17888DAB"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r w:rsidR="00DC5EF4">
        <w:rPr>
          <w:rFonts w:ascii="Times" w:hAnsi="Times"/>
          <w:color w:val="auto"/>
          <w:szCs w:val="22"/>
        </w:rPr>
        <w:t xml:space="preserve">, </w:t>
      </w:r>
      <w:r w:rsidR="00DC5EF4" w:rsidRPr="00DC5EF4">
        <w:rPr>
          <w:rFonts w:ascii="Times" w:hAnsi="Times"/>
          <w:color w:val="auto"/>
          <w:szCs w:val="22"/>
        </w:rPr>
        <w:t>à l’exception des livres</w:t>
      </w:r>
      <w:r w:rsidR="00B51DF4">
        <w:rPr>
          <w:rFonts w:ascii="Times" w:hAnsi="Times"/>
          <w:color w:val="auto"/>
          <w:szCs w:val="22"/>
        </w:rPr>
        <w: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D80FB2" w:rsidRDefault="00305334" w:rsidP="00A24BAC">
      <w:pPr>
        <w:pStyle w:val="Corpsdetexte2"/>
        <w:rPr>
          <w:rFonts w:ascii="Times" w:hAnsi="Times" w:cs="Times"/>
          <w:color w:val="auto"/>
          <w:szCs w:val="22"/>
        </w:rPr>
      </w:pPr>
      <w:r w:rsidRPr="0006107A">
        <w:rPr>
          <w:rFonts w:ascii="Times" w:hAnsi="Times"/>
          <w:color w:val="auto"/>
          <w:szCs w:val="22"/>
        </w:rPr>
        <w:t xml:space="preserve">3.7. </w:t>
      </w:r>
      <w:r w:rsidRPr="00D80FB2">
        <w:rPr>
          <w:rFonts w:ascii="Times" w:hAnsi="Times" w:cs="Times"/>
          <w:color w:val="auto"/>
          <w:szCs w:val="22"/>
        </w:rPr>
        <w:t xml:space="preserve">Vie privée : Le Concédant </w:t>
      </w:r>
      <w:r w:rsidR="009071C0" w:rsidRPr="00D80FB2">
        <w:rPr>
          <w:rFonts w:ascii="Times" w:hAnsi="Times" w:cs="Times"/>
          <w:color w:val="auto"/>
          <w:szCs w:val="22"/>
        </w:rPr>
        <w:t>s’engage à respecter les recommandations de la CNIL relatives à la protection des données personnelles</w:t>
      </w:r>
      <w:r w:rsidR="0035672A" w:rsidRPr="00D80FB2">
        <w:rPr>
          <w:rFonts w:ascii="Times" w:hAnsi="Times" w:cs="Times"/>
          <w:color w:val="auto"/>
          <w:szCs w:val="22"/>
        </w:rPr>
        <w:t xml:space="preserve"> et Le Règlement Général sur la Protection des Données (RGPD) </w:t>
      </w:r>
    </w:p>
    <w:p w14:paraId="6ED38A8A" w14:textId="7C81F0FE" w:rsidR="0035672A" w:rsidRPr="00D80FB2" w:rsidRDefault="0035672A" w:rsidP="0035672A">
      <w:pPr>
        <w:jc w:val="both"/>
        <w:rPr>
          <w:rFonts w:ascii="Times" w:hAnsi="Times" w:cs="Times"/>
          <w:sz w:val="22"/>
          <w:szCs w:val="22"/>
        </w:rPr>
      </w:pPr>
      <w:r w:rsidRPr="00D80FB2">
        <w:rPr>
          <w:rFonts w:ascii="Times" w:hAnsi="Times" w:cs="Times"/>
          <w:sz w:val="22"/>
          <w:szCs w:val="22"/>
        </w:rPr>
        <w:t xml:space="preserve">Nous rappelons notamment que </w:t>
      </w:r>
      <w:r w:rsidR="00B51DF4">
        <w:rPr>
          <w:rFonts w:ascii="Times" w:hAnsi="Times" w:cs="Times"/>
          <w:sz w:val="22"/>
          <w:szCs w:val="22"/>
        </w:rPr>
        <w:t xml:space="preserve">le </w:t>
      </w:r>
      <w:r w:rsidRPr="00D80FB2">
        <w:rPr>
          <w:rFonts w:ascii="Times" w:hAnsi="Times" w:cs="Times"/>
          <w:sz w:val="22"/>
          <w:szCs w:val="22"/>
        </w:rPr>
        <w:t>Règlement (UE) 2016/679 du Parlement européen et du Conseil du 27 avril 2016</w:t>
      </w:r>
      <w:r w:rsidR="00B51DF4">
        <w:rPr>
          <w:rStyle w:val="Appelnotedebasdep"/>
          <w:rFonts w:ascii="Times" w:hAnsi="Times" w:cs="Times"/>
          <w:sz w:val="22"/>
          <w:szCs w:val="22"/>
        </w:rPr>
        <w:footnoteReference w:id="5"/>
      </w:r>
      <w:r w:rsidRPr="00D80FB2">
        <w:rPr>
          <w:rFonts w:ascii="Times" w:hAnsi="Times" w:cs="Times"/>
          <w:sz w:val="22"/>
          <w:szCs w:val="22"/>
        </w:rPr>
        <w:t>,  prévoient dans son</w:t>
      </w:r>
      <w:r w:rsidR="0052104C" w:rsidRPr="00D80FB2">
        <w:rPr>
          <w:rFonts w:ascii="Times" w:hAnsi="Times" w:cs="Times"/>
          <w:sz w:val="22"/>
          <w:szCs w:val="22"/>
        </w:rPr>
        <w:t xml:space="preserve"> </w:t>
      </w:r>
      <w:r w:rsidRPr="00D80FB2">
        <w:rPr>
          <w:rFonts w:ascii="Times" w:hAnsi="Times" w:cs="Times"/>
          <w:sz w:val="22"/>
          <w:szCs w:val="22"/>
        </w:rPr>
        <w:t xml:space="preserve">art 5 « Les données à caractère personnel doivent être collectées pour des </w:t>
      </w:r>
      <w:r w:rsidRPr="00D80FB2">
        <w:rPr>
          <w:rFonts w:ascii="Times" w:hAnsi="Times" w:cs="Times"/>
          <w:b/>
          <w:sz w:val="22"/>
          <w:szCs w:val="22"/>
        </w:rPr>
        <w:t>finalités déterminées, explicites et légitimes</w:t>
      </w:r>
      <w:r w:rsidRPr="00D80FB2">
        <w:rPr>
          <w:rFonts w:ascii="Times" w:hAnsi="Times" w:cs="Times"/>
          <w:sz w:val="22"/>
          <w:szCs w:val="22"/>
        </w:rPr>
        <w:t xml:space="preserve">, et ne pas être traitées ultérieurement d'une manière incompatible avec ces finalités; »et (art 46) qu’« En l'absence de décision en vertu de l'article 45, paragraphe 3, </w:t>
      </w:r>
      <w:r w:rsidRPr="00D80FB2">
        <w:rPr>
          <w:rFonts w:ascii="Times" w:hAnsi="Times" w:cs="Times"/>
          <w:b/>
          <w:sz w:val="22"/>
          <w:szCs w:val="22"/>
        </w:rPr>
        <w:t>le responsable du traitement ou le sous-traitant ne peut transférer des données à caractère personnel vers un pays tiers ou à une organisation internationale que s'il a prévu des garanties appropriée</w:t>
      </w:r>
      <w:r w:rsidRPr="00D80FB2">
        <w:rPr>
          <w:rFonts w:ascii="Times" w:hAnsi="Times" w:cs="Times"/>
          <w:sz w:val="22"/>
          <w:szCs w:val="22"/>
        </w:rPr>
        <w:t>s et à la condition que les personnes concernées disposent de droits opposables et de voies de droit effectives. »</w:t>
      </w:r>
    </w:p>
    <w:p w14:paraId="568C4509" w14:textId="62FB3CBA" w:rsidR="0035672A" w:rsidRPr="00D80FB2" w:rsidRDefault="00346CCA" w:rsidP="00346CCA">
      <w:pPr>
        <w:jc w:val="both"/>
        <w:rPr>
          <w:sz w:val="22"/>
          <w:szCs w:val="22"/>
        </w:rPr>
      </w:pPr>
      <w:r w:rsidRPr="00D80FB2">
        <w:rPr>
          <w:sz w:val="22"/>
          <w:szCs w:val="22"/>
        </w:rPr>
        <w:t xml:space="preserve">Les deux parties se </w:t>
      </w:r>
      <w:r w:rsidR="00DC5EF4" w:rsidRPr="00D80FB2">
        <w:rPr>
          <w:sz w:val="22"/>
          <w:szCs w:val="22"/>
        </w:rPr>
        <w:t xml:space="preserve">conformeront </w:t>
      </w:r>
      <w:r w:rsidR="00CE120B" w:rsidRPr="00D80FB2">
        <w:rPr>
          <w:sz w:val="22"/>
          <w:szCs w:val="22"/>
        </w:rPr>
        <w:t>à toutes les</w:t>
      </w:r>
      <w:r w:rsidR="00B2202E">
        <w:rPr>
          <w:sz w:val="22"/>
          <w:szCs w:val="22"/>
        </w:rPr>
        <w:t xml:space="preserve"> </w:t>
      </w:r>
      <w:r w:rsidRPr="00D80FB2">
        <w:rPr>
          <w:sz w:val="22"/>
          <w:szCs w:val="22"/>
        </w:rPr>
        <w:t xml:space="preserve">exigences de la Législation sur </w:t>
      </w:r>
      <w:r w:rsidR="00B51DF4" w:rsidRPr="00D80FB2">
        <w:rPr>
          <w:sz w:val="22"/>
          <w:szCs w:val="22"/>
        </w:rPr>
        <w:t>la Protection des Données</w:t>
      </w:r>
      <w:r w:rsidRPr="00D80FB2">
        <w:rPr>
          <w:sz w:val="22"/>
          <w:szCs w:val="22"/>
        </w:rPr>
        <w:t xml:space="preserve"> </w:t>
      </w:r>
      <w:proofErr w:type="gramStart"/>
      <w:r w:rsidRPr="00D80FB2">
        <w:rPr>
          <w:sz w:val="22"/>
          <w:szCs w:val="22"/>
        </w:rPr>
        <w:t>applicables  à</w:t>
      </w:r>
      <w:proofErr w:type="gramEnd"/>
      <w:r w:rsidRPr="00D80FB2">
        <w:rPr>
          <w:sz w:val="22"/>
          <w:szCs w:val="22"/>
        </w:rPr>
        <w:t xml:space="preserve"> leur rôle de Sous-traitant  ou de Responsable du Traitement,  selon  le cas. Le présent Avenant s’ajoute aux obligations d’une partie en vertu de la </w:t>
      </w:r>
      <w:r w:rsidR="00DC5EF4" w:rsidRPr="00D80FB2">
        <w:rPr>
          <w:sz w:val="22"/>
          <w:szCs w:val="22"/>
        </w:rPr>
        <w:t>Législation sur</w:t>
      </w:r>
      <w:r w:rsidRPr="00D80FB2">
        <w:rPr>
          <w:sz w:val="22"/>
          <w:szCs w:val="22"/>
        </w:rPr>
        <w:t xml:space="preserve"> </w:t>
      </w:r>
      <w:r w:rsidR="00DC5EF4" w:rsidRPr="00D80FB2">
        <w:rPr>
          <w:sz w:val="22"/>
          <w:szCs w:val="22"/>
        </w:rPr>
        <w:t xml:space="preserve">la Protection </w:t>
      </w:r>
      <w:r w:rsidR="00CE120B" w:rsidRPr="00D80FB2">
        <w:rPr>
          <w:sz w:val="22"/>
          <w:szCs w:val="22"/>
        </w:rPr>
        <w:t xml:space="preserve">des </w:t>
      </w:r>
      <w:proofErr w:type="gramStart"/>
      <w:r w:rsidR="00CE120B" w:rsidRPr="00D80FB2">
        <w:rPr>
          <w:sz w:val="22"/>
          <w:szCs w:val="22"/>
        </w:rPr>
        <w:t>Données</w:t>
      </w:r>
      <w:r w:rsidRPr="00D80FB2">
        <w:rPr>
          <w:sz w:val="22"/>
          <w:szCs w:val="22"/>
        </w:rPr>
        <w:t xml:space="preserve">  et</w:t>
      </w:r>
      <w:proofErr w:type="gramEnd"/>
      <w:r w:rsidRPr="00D80FB2">
        <w:rPr>
          <w:sz w:val="22"/>
          <w:szCs w:val="22"/>
        </w:rPr>
        <w:t xml:space="preserve">  ne  libère,  ne supprime et ne remplace pas lesdites obligations</w:t>
      </w:r>
      <w:r w:rsidR="00D80FB2" w:rsidRPr="00D80FB2">
        <w:rPr>
          <w:sz w:val="22"/>
          <w:szCs w:val="22"/>
        </w:rPr>
        <w:t>.</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A1392CF" w14:textId="77777777" w:rsidR="00A24BAC" w:rsidRPr="0006107A" w:rsidRDefault="00A24BAC" w:rsidP="00EC0442">
      <w:pPr>
        <w:pStyle w:val="Titre3"/>
        <w:jc w:val="center"/>
        <w:rPr>
          <w:rFonts w:ascii="Times" w:hAnsi="Times"/>
          <w:szCs w:val="22"/>
        </w:rPr>
      </w:pPr>
      <w:r w:rsidRPr="0006107A">
        <w:rPr>
          <w:rFonts w:ascii="Times" w:hAnsi="Times"/>
          <w:szCs w:val="22"/>
        </w:rPr>
        <w:t>Article 4. DROITS D’ARCHIVAGE</w:t>
      </w:r>
    </w:p>
    <w:p w14:paraId="2BF3B3C4" w14:textId="77777777" w:rsidR="00A24BAC" w:rsidRPr="0006107A" w:rsidRDefault="00A24BAC">
      <w:pPr>
        <w:rPr>
          <w:rFonts w:ascii="Times" w:hAnsi="Times"/>
          <w:sz w:val="22"/>
          <w:szCs w:val="22"/>
        </w:rPr>
      </w:pPr>
    </w:p>
    <w:p w14:paraId="09C42D75" w14:textId="6C24C2CD" w:rsidR="00A24BAC" w:rsidRPr="0006107A" w:rsidRDefault="00D80FB2">
      <w:pPr>
        <w:jc w:val="both"/>
        <w:rPr>
          <w:rFonts w:ascii="Times" w:hAnsi="Times"/>
          <w:sz w:val="22"/>
          <w:szCs w:val="22"/>
        </w:rPr>
      </w:pPr>
      <w:r>
        <w:rPr>
          <w:rFonts w:ascii="Times" w:hAnsi="Times"/>
          <w:snapToGrid w:val="0"/>
          <w:color w:val="000000"/>
          <w:sz w:val="22"/>
          <w:szCs w:val="22"/>
        </w:rPr>
        <w:t>Ne s’applique pas.</w:t>
      </w: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75104631"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lastRenderedPageBreak/>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5.3.2 La rediffusion, revente ou la concession de sous-licence de quelque manière que ce soit y compris en rapport avec un service payant excepté selon les modalités décrites dans </w:t>
      </w:r>
      <w:r w:rsidRPr="00D80FB2">
        <w:rPr>
          <w:rFonts w:ascii="Times" w:hAnsi="Times"/>
          <w:snapToGrid w:val="0"/>
          <w:color w:val="000000"/>
          <w:sz w:val="22"/>
          <w:szCs w:val="22"/>
          <w:highlight w:val="green"/>
        </w:rPr>
        <w:t>l’Annexe 1</w:t>
      </w:r>
      <w:r w:rsidRPr="0006107A">
        <w:rPr>
          <w:rFonts w:ascii="Times" w:hAnsi="Times"/>
          <w:snapToGrid w:val="0"/>
          <w:color w:val="000000"/>
          <w:sz w:val="22"/>
          <w:szCs w:val="22"/>
        </w:rPr>
        <w:t>.</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1DFBA5DB"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2A78EBEB"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6.1 Dès le début de la période d’abonnement, le Concédant mettra les Éléments sous Licence sous forme numérique à la disposition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44C6B45C"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6.2 Le Concédant fera de son mieux pour assurer </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 Si le Concédant n’est pas en mesure de proposer l’accès au service pendant plus de vingt-quatre (24) heures consécutives, alors le Concédant prolongera la période de validité du présent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de licence d’une durée identique à celle de l’interruption sans frais supplémentaires pour </w:t>
      </w:r>
      <w:r w:rsidRPr="00217F6D">
        <w:rPr>
          <w:rFonts w:ascii="Times" w:hAnsi="Times"/>
          <w:snapToGrid w:val="0"/>
          <w:color w:val="000000"/>
          <w:sz w:val="22"/>
          <w:szCs w:val="22"/>
        </w:rPr>
        <w:t>l’Abonné</w:t>
      </w:r>
      <w:r w:rsidRPr="0006107A">
        <w:rPr>
          <w:rFonts w:ascii="Times" w:hAnsi="Times"/>
          <w:snapToGrid w:val="0"/>
          <w:sz w:val="22"/>
          <w:szCs w:val="22"/>
        </w:rPr>
        <w:t>.</w:t>
      </w:r>
    </w:p>
    <w:p w14:paraId="0E149CBF" w14:textId="77777777" w:rsidR="00A24BAC" w:rsidRPr="0006107A" w:rsidRDefault="00A24BAC">
      <w:pPr>
        <w:jc w:val="both"/>
        <w:rPr>
          <w:rFonts w:ascii="Times" w:hAnsi="Times"/>
          <w:snapToGrid w:val="0"/>
          <w:sz w:val="22"/>
          <w:szCs w:val="22"/>
        </w:rPr>
      </w:pPr>
    </w:p>
    <w:p w14:paraId="47CDFDD0" w14:textId="3378CA26"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w:t>
      </w:r>
      <w:r w:rsidR="005F6CF2">
        <w:rPr>
          <w:rFonts w:ascii="Times" w:hAnsi="Times"/>
          <w:snapToGrid w:val="0"/>
          <w:color w:val="000000"/>
          <w:sz w:val="22"/>
          <w:szCs w:val="22"/>
        </w:rPr>
        <w:t xml:space="preserve"> Le Concédant se réserve également</w:t>
      </w:r>
      <w:r w:rsidRPr="0006107A">
        <w:rPr>
          <w:rFonts w:ascii="Times" w:hAnsi="Times"/>
          <w:snapToGrid w:val="0"/>
          <w:color w:val="000000"/>
          <w:sz w:val="22"/>
          <w:szCs w:val="22"/>
        </w:rPr>
        <w:t xml:space="preserve"> </w:t>
      </w:r>
      <w:r w:rsidR="005F6CF2">
        <w:rPr>
          <w:rFonts w:ascii="Times" w:hAnsi="Times"/>
          <w:snapToGrid w:val="0"/>
          <w:color w:val="000000"/>
          <w:sz w:val="22"/>
          <w:szCs w:val="22"/>
        </w:rPr>
        <w:t>le droit de modifier la composition des éléments sous licence en fonction</w:t>
      </w:r>
      <w:r w:rsidR="005F6CF2" w:rsidRPr="005F6CF2">
        <w:rPr>
          <w:rFonts w:ascii="Times" w:hAnsi="Times"/>
          <w:snapToGrid w:val="0"/>
          <w:color w:val="000000"/>
          <w:sz w:val="22"/>
          <w:szCs w:val="22"/>
        </w:rPr>
        <w:t xml:space="preserve"> de la cohérence de sa politique éditoriale globale. </w:t>
      </w:r>
      <w:r w:rsidRPr="0006107A">
        <w:rPr>
          <w:rFonts w:ascii="Times" w:hAnsi="Times"/>
          <w:snapToGrid w:val="0"/>
          <w:color w:val="000000"/>
          <w:sz w:val="22"/>
          <w:szCs w:val="22"/>
        </w:rPr>
        <w:t>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w:t>
      </w:r>
      <w:r w:rsidR="000839F5" w:rsidRPr="00D80FB2">
        <w:rPr>
          <w:rFonts w:ascii="Times" w:hAnsi="Times"/>
          <w:snapToGrid w:val="0"/>
          <w:color w:val="000000"/>
          <w:sz w:val="22"/>
          <w:szCs w:val="22"/>
          <w:highlight w:val="green"/>
        </w:rPr>
        <w:t xml:space="preserve">l’annexe </w:t>
      </w:r>
      <w:r w:rsidR="004C6183" w:rsidRPr="00D80FB2">
        <w:rPr>
          <w:rFonts w:ascii="Times" w:hAnsi="Times"/>
          <w:snapToGrid w:val="0"/>
          <w:color w:val="000000"/>
          <w:sz w:val="22"/>
          <w:szCs w:val="22"/>
          <w:highlight w:val="green"/>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7777777"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2AF5330B"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lastRenderedPageBreak/>
        <w:t>6.8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4F51C902" w:rsidR="00A24BAC" w:rsidRPr="00CC3A28" w:rsidRDefault="00A24BAC">
      <w:pPr>
        <w:pStyle w:val="Commentaire"/>
        <w:jc w:val="both"/>
        <w:rPr>
          <w:rFonts w:ascii="Times" w:hAnsi="Times"/>
          <w:bCs/>
          <w:sz w:val="22"/>
          <w:szCs w:val="22"/>
        </w:rPr>
      </w:pPr>
      <w:r w:rsidRPr="00CC3A28">
        <w:rPr>
          <w:rFonts w:ascii="Times" w:hAnsi="Times"/>
          <w:bCs/>
          <w:sz w:val="22"/>
          <w:szCs w:val="22"/>
        </w:rPr>
        <w:t xml:space="preserve">6.9 Le Concédant </w:t>
      </w:r>
      <w:r w:rsidR="005F6CF2" w:rsidRPr="00CC3A28">
        <w:rPr>
          <w:rFonts w:ascii="Times" w:hAnsi="Times"/>
          <w:bCs/>
          <w:sz w:val="22"/>
          <w:szCs w:val="22"/>
        </w:rPr>
        <w:t>fera ses meilleurs efforts pour</w:t>
      </w:r>
      <w:r w:rsidR="005F6CF2">
        <w:rPr>
          <w:rFonts w:ascii="Times" w:hAnsi="Times"/>
          <w:bCs/>
          <w:sz w:val="22"/>
          <w:szCs w:val="22"/>
        </w:rPr>
        <w:t xml:space="preserve"> se rendre</w:t>
      </w:r>
      <w:r w:rsidR="00427FE0" w:rsidRPr="00CC3A28">
        <w:rPr>
          <w:rFonts w:ascii="Times" w:hAnsi="Times"/>
          <w:bCs/>
          <w:sz w:val="22"/>
          <w:szCs w:val="22"/>
        </w:rPr>
        <w:t xml:space="preserve"> </w:t>
      </w:r>
      <w:r w:rsidRPr="00CC3A28">
        <w:rPr>
          <w:rFonts w:ascii="Times" w:hAnsi="Times"/>
          <w:bCs/>
          <w:sz w:val="22"/>
          <w:szCs w:val="22"/>
        </w:rPr>
        <w:t>compatible avec le code et pratiques TRANSFER</w:t>
      </w:r>
      <w:r w:rsidRPr="00CC3A28">
        <w:rPr>
          <w:rStyle w:val="Appelnotedebasdep"/>
          <w:rFonts w:ascii="Times" w:hAnsi="Times"/>
          <w:bCs/>
          <w:sz w:val="22"/>
          <w:szCs w:val="22"/>
        </w:rPr>
        <w:footnoteReference w:id="6"/>
      </w:r>
      <w:r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6385AAA9" w:rsidR="00A24BAC" w:rsidRPr="00CC3A28" w:rsidRDefault="00A24BAC">
      <w:pPr>
        <w:jc w:val="both"/>
        <w:rPr>
          <w:rFonts w:ascii="Times" w:hAnsi="Times"/>
          <w:snapToGrid w:val="0"/>
          <w:sz w:val="22"/>
          <w:szCs w:val="22"/>
        </w:rPr>
      </w:pPr>
      <w:r w:rsidRPr="00CC3A28">
        <w:rPr>
          <w:rFonts w:ascii="Times" w:hAnsi="Times"/>
          <w:snapToGrid w:val="0"/>
          <w:sz w:val="22"/>
          <w:szCs w:val="22"/>
        </w:rPr>
        <w:t xml:space="preserve">6.10 Le Concédant autorise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 xml:space="preserve">à l’intérieur des éléments sous licence.  </w:t>
      </w:r>
    </w:p>
    <w:p w14:paraId="718E0542" w14:textId="77777777" w:rsidR="00A24BAC" w:rsidRPr="00245D92" w:rsidRDefault="00A24BAC">
      <w:pPr>
        <w:jc w:val="both"/>
        <w:rPr>
          <w:rFonts w:ascii="Times" w:hAnsi="Times"/>
          <w:snapToGrid w:val="0"/>
          <w:sz w:val="22"/>
          <w:szCs w:val="22"/>
        </w:rPr>
      </w:pPr>
    </w:p>
    <w:p w14:paraId="1A40A51A" w14:textId="7165E165" w:rsidR="00644ABC" w:rsidRPr="00D80FB2" w:rsidRDefault="00A24BAC" w:rsidP="00245D92">
      <w:pPr>
        <w:rPr>
          <w:rFonts w:ascii="Times" w:hAnsi="Times"/>
          <w:sz w:val="22"/>
          <w:szCs w:val="22"/>
        </w:rPr>
      </w:pPr>
      <w:r w:rsidRPr="00245D92">
        <w:rPr>
          <w:rFonts w:ascii="Times" w:hAnsi="Times"/>
          <w:snapToGrid w:val="0"/>
          <w:color w:val="000000"/>
          <w:sz w:val="22"/>
          <w:szCs w:val="22"/>
        </w:rPr>
        <w:t xml:space="preserve">6.11 </w:t>
      </w:r>
      <w:r w:rsidR="00245D92" w:rsidRPr="00245D92">
        <w:rPr>
          <w:rFonts w:ascii="Times" w:hAnsi="Times"/>
          <w:sz w:val="22"/>
          <w:szCs w:val="22"/>
        </w:rPr>
        <w:t xml:space="preserve">Des données d'utilisation des Éléments sous Licence seront réunies chaque mois par le Concédant et </w:t>
      </w:r>
      <w:r w:rsidR="005F6CF2">
        <w:rPr>
          <w:rFonts w:ascii="Times" w:hAnsi="Times"/>
          <w:sz w:val="22"/>
          <w:szCs w:val="22"/>
        </w:rPr>
        <w:t>envoyées à</w:t>
      </w:r>
      <w:r w:rsidR="00245D92" w:rsidRPr="00245D92">
        <w:rPr>
          <w:rFonts w:ascii="Times" w:hAnsi="Times"/>
          <w:sz w:val="22"/>
          <w:szCs w:val="22"/>
        </w:rPr>
        <w:t xml:space="preserve"> </w:t>
      </w:r>
      <w:r w:rsidR="00245D92" w:rsidRPr="00217F6D">
        <w:rPr>
          <w:rFonts w:ascii="Times" w:hAnsi="Times"/>
          <w:sz w:val="22"/>
          <w:szCs w:val="22"/>
        </w:rPr>
        <w:t>l'Abonné</w:t>
      </w:r>
      <w:r w:rsidR="005F6CF2">
        <w:rPr>
          <w:rFonts w:ascii="Times" w:hAnsi="Times"/>
          <w:sz w:val="22"/>
          <w:szCs w:val="22"/>
        </w:rPr>
        <w:t xml:space="preserve"> sur demande par mail</w:t>
      </w:r>
      <w:r w:rsidR="00245D92" w:rsidRPr="00245D92">
        <w:rPr>
          <w:rFonts w:ascii="Times" w:hAnsi="Times"/>
          <w:sz w:val="22"/>
          <w:szCs w:val="22"/>
        </w:rPr>
        <w:t xml:space="preserve">. </w:t>
      </w:r>
      <w:r w:rsidR="005F6CF2" w:rsidRPr="005F6CF2">
        <w:rPr>
          <w:rFonts w:ascii="Times" w:hAnsi="Times"/>
          <w:sz w:val="22"/>
          <w:szCs w:val="22"/>
        </w:rPr>
        <w:t>Le Concédant fera ses meilleurs efforts pour que ces données soient conformes à la dernière version en vigueur de C</w:t>
      </w:r>
      <w:r w:rsidR="00673D62">
        <w:rPr>
          <w:rFonts w:ascii="Times" w:hAnsi="Times"/>
          <w:sz w:val="22"/>
          <w:szCs w:val="22"/>
        </w:rPr>
        <w:t>OUNTER</w:t>
      </w:r>
      <w:r w:rsidR="00673D62">
        <w:rPr>
          <w:rStyle w:val="Appelnotedebasdep"/>
          <w:rFonts w:ascii="Times" w:hAnsi="Times"/>
          <w:sz w:val="22"/>
          <w:szCs w:val="22"/>
        </w:rPr>
        <w:footnoteReference w:id="7"/>
      </w:r>
      <w:r w:rsidR="005F6CF2" w:rsidRPr="005F6CF2">
        <w:rPr>
          <w:rFonts w:ascii="Times" w:hAnsi="Times"/>
          <w:sz w:val="22"/>
          <w:szCs w:val="22"/>
        </w:rPr>
        <w:t>.</w:t>
      </w:r>
    </w:p>
    <w:p w14:paraId="6DC1E89A" w14:textId="77777777" w:rsidR="00DA055B" w:rsidRPr="00D80FB2" w:rsidRDefault="00DA055B" w:rsidP="00644ABC">
      <w:pPr>
        <w:rPr>
          <w:rFonts w:ascii="Times" w:hAnsi="Times"/>
          <w:sz w:val="22"/>
          <w:szCs w:val="22"/>
        </w:rPr>
      </w:pPr>
    </w:p>
    <w:p w14:paraId="430546F1" w14:textId="2B79C823" w:rsidR="00DA055B" w:rsidRPr="00D80FB2" w:rsidRDefault="001A6D85" w:rsidP="001E371B">
      <w:pPr>
        <w:rPr>
          <w:rFonts w:ascii="Calibri" w:hAnsi="Calibri" w:cs="Calibri"/>
          <w:sz w:val="22"/>
          <w:szCs w:val="22"/>
        </w:rPr>
      </w:pPr>
      <w:r w:rsidRPr="00D80FB2">
        <w:rPr>
          <w:snapToGrid w:val="0"/>
          <w:sz w:val="22"/>
          <w:szCs w:val="22"/>
        </w:rPr>
        <w:t>6.12</w:t>
      </w:r>
      <w:r w:rsidR="00DA055B" w:rsidRPr="00D80FB2">
        <w:rPr>
          <w:snapToGrid w:val="0"/>
          <w:sz w:val="22"/>
          <w:szCs w:val="22"/>
        </w:rPr>
        <w:t xml:space="preserve"> </w:t>
      </w:r>
      <w:r w:rsidRPr="00D80FB2">
        <w:rPr>
          <w:sz w:val="22"/>
          <w:szCs w:val="22"/>
        </w:rPr>
        <w:t xml:space="preserve">Des données décrivant les contenus des bouquets (de périodiques électroniques, de livres électroniques) seront </w:t>
      </w:r>
      <w:r w:rsidR="009C3963" w:rsidRPr="00D80FB2">
        <w:rPr>
          <w:sz w:val="22"/>
          <w:szCs w:val="22"/>
        </w:rPr>
        <w:t xml:space="preserve">envoyées par email à la demande sous format Excel. Le concédant fera ses meilleurs efforts pour se conformer aux </w:t>
      </w:r>
      <w:r w:rsidR="00D80FB2" w:rsidRPr="00D80FB2">
        <w:rPr>
          <w:sz w:val="22"/>
          <w:szCs w:val="22"/>
        </w:rPr>
        <w:t>recommandations KBART</w:t>
      </w:r>
      <w:r w:rsidR="00A91C23" w:rsidRPr="00D80FB2">
        <w:rPr>
          <w:sz w:val="22"/>
          <w:szCs w:val="22"/>
        </w:rPr>
        <w:t xml:space="preserve"> / </w:t>
      </w:r>
      <w:r w:rsidR="00A91C23" w:rsidRPr="00D80FB2">
        <w:rPr>
          <w:rFonts w:ascii="Calibri" w:hAnsi="Calibri" w:cs="Calibri"/>
          <w:sz w:val="22"/>
          <w:szCs w:val="22"/>
        </w:rPr>
        <w:t>NISO RP-9-2014</w:t>
      </w:r>
      <w:r w:rsidRPr="00D80FB2">
        <w:rPr>
          <w:rStyle w:val="Appelnotedebasdep"/>
          <w:rFonts w:ascii="Times" w:hAnsi="Times"/>
          <w:sz w:val="22"/>
          <w:szCs w:val="22"/>
        </w:rPr>
        <w:footnoteReference w:id="8"/>
      </w:r>
      <w:r w:rsidR="001356CA" w:rsidRPr="00D80FB2">
        <w:rPr>
          <w:rFonts w:ascii="Calibri" w:hAnsi="Calibri" w:cs="Calibri"/>
          <w:sz w:val="22"/>
          <w:szCs w:val="22"/>
        </w:rPr>
        <w:t xml:space="preserve"> pour les revues et e-books, correspondant à la norme NISO RP-9-2014</w:t>
      </w:r>
      <w:r w:rsidRPr="00D80FB2">
        <w:rPr>
          <w:sz w:val="22"/>
          <w:szCs w:val="22"/>
        </w:rPr>
        <w:t>.</w:t>
      </w:r>
      <w:r w:rsidR="001356CA" w:rsidRPr="00D80FB2">
        <w:rPr>
          <w:rFonts w:ascii="Calibri" w:hAnsi="Calibri" w:cs="Calibri"/>
          <w:sz w:val="22"/>
          <w:szCs w:val="22"/>
        </w:rPr>
        <w:t xml:space="preserve"> </w:t>
      </w:r>
      <w:r w:rsidR="009C3963" w:rsidRPr="00D80FB2">
        <w:rPr>
          <w:rFonts w:ascii="Calibri" w:hAnsi="Calibri" w:cs="Calibri"/>
          <w:sz w:val="22"/>
          <w:szCs w:val="22"/>
        </w:rPr>
        <w:t>L</w:t>
      </w:r>
      <w:r w:rsidR="001356CA" w:rsidRPr="00D80FB2">
        <w:rPr>
          <w:rFonts w:ascii="Calibri" w:hAnsi="Calibri" w:cs="Calibri"/>
          <w:sz w:val="22"/>
          <w:szCs w:val="22"/>
        </w:rPr>
        <w:t>es caractères doivent utiliser le codage UTF8</w:t>
      </w:r>
      <w:r w:rsidR="00DA055B" w:rsidRPr="00D80FB2">
        <w:rPr>
          <w:rFonts w:ascii="Calibri" w:hAnsi="Calibri" w:cs="Calibri"/>
          <w:sz w:val="22"/>
          <w:szCs w:val="22"/>
        </w:rPr>
        <w:t>.</w:t>
      </w:r>
    </w:p>
    <w:p w14:paraId="6B3B0EF5" w14:textId="4C451A82" w:rsidR="00DA055B" w:rsidRPr="00D80FB2" w:rsidRDefault="001356CA" w:rsidP="001E371B">
      <w:pPr>
        <w:rPr>
          <w:sz w:val="22"/>
          <w:szCs w:val="22"/>
        </w:rPr>
      </w:pPr>
      <w:r w:rsidRPr="00D80FB2">
        <w:rPr>
          <w:sz w:val="22"/>
          <w:szCs w:val="22"/>
        </w:rPr>
        <w:t>Le Concédant concède aux bénéficiaires le droit de modifier le format des Métadonnées et de les enrichir par ajout de contenus ou de liens.</w:t>
      </w:r>
      <w:r w:rsidR="00644ABC" w:rsidRPr="00D80FB2">
        <w:rPr>
          <w:rFonts w:eastAsiaTheme="minorHAnsi"/>
          <w:sz w:val="22"/>
          <w:szCs w:val="22"/>
          <w:lang w:eastAsia="en-US"/>
        </w:rPr>
        <w:t xml:space="preserve"> </w:t>
      </w:r>
      <w:r w:rsidR="00644ABC" w:rsidRPr="00D80FB2">
        <w:rPr>
          <w:sz w:val="22"/>
          <w:szCs w:val="22"/>
        </w:rPr>
        <w:t>Les métadonnées pourront</w:t>
      </w:r>
      <w:r w:rsidR="00DA055B" w:rsidRPr="00D80FB2">
        <w:rPr>
          <w:sz w:val="22"/>
          <w:szCs w:val="22"/>
        </w:rPr>
        <w:t xml:space="preserve"> donc</w:t>
      </w:r>
      <w:r w:rsidR="00644ABC" w:rsidRPr="00D80FB2">
        <w:rPr>
          <w:sz w:val="22"/>
          <w:szCs w:val="22"/>
        </w:rPr>
        <w:t xml:space="preserve"> être intégrées à l’ensemble des catalogues collectifs (à titre d’exemple le SUDOC et </w:t>
      </w:r>
      <w:proofErr w:type="spellStart"/>
      <w:r w:rsidR="00644ABC" w:rsidRPr="00D80FB2">
        <w:rPr>
          <w:sz w:val="22"/>
          <w:szCs w:val="22"/>
        </w:rPr>
        <w:t>WorldCat</w:t>
      </w:r>
      <w:proofErr w:type="spellEnd"/>
      <w:r w:rsidR="00644ABC" w:rsidRPr="00D80FB2">
        <w:rPr>
          <w:sz w:val="22"/>
          <w:szCs w:val="22"/>
        </w:rPr>
        <w:t>) et à la base de connaissance nationale BACON</w:t>
      </w:r>
      <w:r w:rsidR="009C3963" w:rsidRPr="00D80FB2">
        <w:rPr>
          <w:sz w:val="22"/>
          <w:szCs w:val="22"/>
        </w:rPr>
        <w:t>.</w:t>
      </w:r>
    </w:p>
    <w:p w14:paraId="039DD53C" w14:textId="70B6ECC2" w:rsidR="001356CA" w:rsidRPr="00D80FB2" w:rsidRDefault="001356CA" w:rsidP="001E371B">
      <w:pPr>
        <w:rPr>
          <w:sz w:val="22"/>
          <w:szCs w:val="22"/>
        </w:rPr>
      </w:pPr>
      <w:r w:rsidRPr="00D80FB2">
        <w:rPr>
          <w:sz w:val="22"/>
          <w:szCs w:val="22"/>
        </w:rPr>
        <w:t>Le Concédant s’engage à s’assurer qu’une adresse URL pérenne soit attribuée pour chaque Titre de la Base de données.</w:t>
      </w:r>
    </w:p>
    <w:p w14:paraId="324E0D1E" w14:textId="5F7846C3" w:rsidR="001A6D85" w:rsidRPr="00D80FB2"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26701660" w:rsidR="00A24BAC" w:rsidRPr="00CC3A28" w:rsidRDefault="00A24BAC">
      <w:pPr>
        <w:pStyle w:val="Commentaire"/>
        <w:jc w:val="both"/>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570EF1D5"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4F437958" w:rsidR="00A24BAC" w:rsidRPr="00CC3A28" w:rsidRDefault="00A24BAC" w:rsidP="00EC0442">
      <w:pPr>
        <w:pStyle w:val="Titre3"/>
        <w:jc w:val="center"/>
        <w:rPr>
          <w:rFonts w:ascii="Times" w:hAnsi="Times"/>
          <w:szCs w:val="22"/>
        </w:rPr>
      </w:pPr>
      <w:r w:rsidRPr="00CC3A28">
        <w:rPr>
          <w:rFonts w:ascii="Times" w:hAnsi="Times"/>
          <w:szCs w:val="22"/>
        </w:rPr>
        <w:t xml:space="preserve">Article 7. OBLIGATIONS </w:t>
      </w:r>
      <w:r w:rsidRPr="00217F6D">
        <w:rPr>
          <w:rFonts w:ascii="Times" w:hAnsi="Times"/>
          <w:szCs w:val="22"/>
        </w:rPr>
        <w:t>DE L’ABONNÉ</w:t>
      </w:r>
    </w:p>
    <w:p w14:paraId="52499F16" w14:textId="77777777" w:rsidR="00A24BAC" w:rsidRPr="00CC3A28" w:rsidRDefault="00A24BAC">
      <w:pPr>
        <w:jc w:val="both"/>
        <w:rPr>
          <w:rFonts w:ascii="Times" w:hAnsi="Times"/>
          <w:snapToGrid w:val="0"/>
          <w:color w:val="000000"/>
          <w:sz w:val="22"/>
          <w:szCs w:val="22"/>
        </w:rPr>
      </w:pPr>
    </w:p>
    <w:p w14:paraId="6D68E89B" w14:textId="4486359B"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3E9830A2"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4BD0224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0406DFB9" w:rsidR="00A24BAC" w:rsidRPr="00CC3A28" w:rsidRDefault="00A24BAC">
      <w:pPr>
        <w:jc w:val="both"/>
        <w:rPr>
          <w:rFonts w:ascii="Times" w:hAnsi="Times"/>
          <w:snapToGrid w:val="0"/>
          <w:color w:val="000000"/>
          <w:sz w:val="22"/>
          <w:szCs w:val="22"/>
        </w:rPr>
      </w:pPr>
      <w:proofErr w:type="gramStart"/>
      <w:r w:rsidRPr="00CC3A28">
        <w:rPr>
          <w:rFonts w:ascii="Times" w:hAnsi="Times"/>
          <w:snapToGrid w:val="0"/>
          <w:color w:val="000000"/>
          <w:sz w:val="22"/>
          <w:szCs w:val="22"/>
        </w:rPr>
        <w:lastRenderedPageBreak/>
        <w:t>7.0.4  S’il</w:t>
      </w:r>
      <w:proofErr w:type="gramEnd"/>
      <w:r w:rsidRPr="00CC3A28">
        <w:rPr>
          <w:rFonts w:ascii="Times" w:hAnsi="Times"/>
          <w:snapToGrid w:val="0"/>
          <w:color w:val="000000"/>
          <w:sz w:val="22"/>
          <w:szCs w:val="22"/>
        </w:rPr>
        <w:t xml:space="preserve">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2846E95B"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6F190D66"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proofErr w:type="gramStart"/>
      <w:r w:rsidR="003003E4" w:rsidRPr="00CC3A28">
        <w:rPr>
          <w:rFonts w:ascii="Times" w:hAnsi="Times"/>
          <w:snapToGrid w:val="0"/>
          <w:color w:val="000000"/>
          <w:sz w:val="22"/>
          <w:szCs w:val="22"/>
        </w:rPr>
        <w:t>au  Concédant</w:t>
      </w:r>
      <w:proofErr w:type="gramEnd"/>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xml:space="preserve"> afin de permettre à ce dernier de faire de son mieux pour que l’usage abusif cesse.</w:t>
      </w:r>
    </w:p>
    <w:p w14:paraId="6ABD5E2D" w14:textId="77777777" w:rsidR="00A24BAC" w:rsidRPr="00CC3A28" w:rsidRDefault="00A24BAC">
      <w:pPr>
        <w:jc w:val="both"/>
        <w:rPr>
          <w:rFonts w:ascii="Times" w:hAnsi="Times"/>
          <w:snapToGrid w:val="0"/>
          <w:color w:val="000000"/>
          <w:sz w:val="22"/>
          <w:szCs w:val="22"/>
        </w:rPr>
      </w:pPr>
    </w:p>
    <w:p w14:paraId="7DD2CE98" w14:textId="30EEED62"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2A42A60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8.1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accepte de rétribuer le Concédant pour l’usage des Éléments sous Licence tel qu’établi à </w:t>
      </w:r>
      <w:r w:rsidRPr="00D80FB2">
        <w:rPr>
          <w:rFonts w:ascii="Times" w:hAnsi="Times"/>
          <w:snapToGrid w:val="0"/>
          <w:color w:val="000000"/>
          <w:sz w:val="22"/>
          <w:szCs w:val="22"/>
          <w:highlight w:val="green"/>
        </w:rPr>
        <w:t>l’</w:t>
      </w:r>
      <w:r w:rsidRPr="00D80FB2">
        <w:rPr>
          <w:rFonts w:ascii="Times" w:hAnsi="Times"/>
          <w:bCs/>
          <w:snapToGrid w:val="0"/>
          <w:color w:val="000000"/>
          <w:sz w:val="22"/>
          <w:szCs w:val="22"/>
          <w:highlight w:val="green"/>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58C7BBE1"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 xml:space="preserve">edevances en faveur du Concédant dans un délai de </w:t>
      </w:r>
      <w:proofErr w:type="spellStart"/>
      <w:r w:rsidRPr="00CC3A28">
        <w:rPr>
          <w:rFonts w:ascii="Times" w:hAnsi="Times"/>
          <w:color w:val="auto"/>
          <w:szCs w:val="22"/>
        </w:rPr>
        <w:t>quarante cinq</w:t>
      </w:r>
      <w:proofErr w:type="spellEnd"/>
      <w:r w:rsidRPr="00CC3A28">
        <w:rPr>
          <w:rFonts w:ascii="Times" w:hAnsi="Times"/>
          <w:color w:val="auto"/>
          <w:szCs w:val="22"/>
        </w:rPr>
        <w:t xml:space="preserve">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0D3C2714"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Une fois ce différend résolu et réglé, l’Abonné acquittera le montant dû dans un délai de quarante</w:t>
      </w:r>
      <w:r w:rsidR="00B2202E">
        <w:rPr>
          <w:rFonts w:ascii="Times" w:hAnsi="Times"/>
          <w:color w:val="auto"/>
          <w:szCs w:val="22"/>
        </w:rPr>
        <w:t>-</w:t>
      </w:r>
      <w:r w:rsidRPr="00CC3A28">
        <w:rPr>
          <w:rFonts w:ascii="Times" w:hAnsi="Times"/>
          <w:color w:val="auto"/>
          <w:szCs w:val="22"/>
        </w:rPr>
        <w:t xml:space="preserve">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4AA093F"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Pr="00D80FB2">
        <w:rPr>
          <w:rFonts w:ascii="Times" w:hAnsi="Times"/>
          <w:snapToGrid w:val="0"/>
          <w:color w:val="000000"/>
          <w:sz w:val="22"/>
          <w:szCs w:val="22"/>
          <w:highlight w:val="yellow"/>
        </w:rPr>
        <w:t>[DURÉE]</w:t>
      </w:r>
      <w:r w:rsidRPr="00CC3A28">
        <w:rPr>
          <w:rFonts w:ascii="Times" w:hAnsi="Times"/>
          <w:snapToGrid w:val="0"/>
          <w:color w:val="000000"/>
          <w:sz w:val="22"/>
          <w:szCs w:val="22"/>
        </w:rPr>
        <w:t xml:space="preserve"> à compter du </w:t>
      </w:r>
      <w:r w:rsidRPr="00D80FB2">
        <w:rPr>
          <w:rFonts w:ascii="Times" w:hAnsi="Times"/>
          <w:snapToGrid w:val="0"/>
          <w:color w:val="000000"/>
          <w:sz w:val="22"/>
          <w:szCs w:val="22"/>
          <w:highlight w:val="yellow"/>
        </w:rPr>
        <w:t>[DATE]</w:t>
      </w:r>
      <w:r w:rsidRPr="00CC3A28">
        <w:rPr>
          <w:rFonts w:ascii="Times" w:hAnsi="Times"/>
          <w:snapToGrid w:val="0"/>
          <w:color w:val="000000"/>
          <w:sz w:val="22"/>
          <w:szCs w:val="22"/>
        </w:rPr>
        <w:t xml:space="preserve"> et jusqu’au </w:t>
      </w:r>
      <w:r w:rsidRPr="00D80FB2">
        <w:rPr>
          <w:rFonts w:ascii="Times" w:hAnsi="Times"/>
          <w:snapToGrid w:val="0"/>
          <w:color w:val="000000"/>
          <w:sz w:val="22"/>
          <w:szCs w:val="22"/>
          <w:highlight w:val="yellow"/>
        </w:rPr>
        <w:t>[DATE].</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0F2F64D0"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xml:space="preserve">- De plein droit à tout moment par l'une ou l'autre des parties en cas d'inexécution d'une des obligations à la charge de l'autre partie. </w:t>
      </w:r>
      <w:r w:rsidR="00C16AC7">
        <w:rPr>
          <w:rFonts w:ascii="Times" w:hAnsi="Times"/>
          <w:snapToGrid w:val="0"/>
          <w:color w:val="000000"/>
          <w:sz w:val="22"/>
          <w:szCs w:val="22"/>
        </w:rPr>
        <w:t>L</w:t>
      </w:r>
      <w:r w:rsidRPr="00936515">
        <w:rPr>
          <w:rFonts w:ascii="Times" w:hAnsi="Times"/>
          <w:snapToGrid w:val="0"/>
          <w:color w:val="000000"/>
          <w:sz w:val="22"/>
          <w:szCs w:val="22"/>
        </w:rPr>
        <w:t>’Abonné</w:t>
      </w:r>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w:t>
      </w:r>
      <w:r w:rsidRPr="00B2202E">
        <w:rPr>
          <w:rFonts w:ascii="Times" w:hAnsi="Times" w:cs="Times"/>
          <w:snapToGrid w:val="0"/>
          <w:sz w:val="22"/>
          <w:szCs w:val="22"/>
        </w:rPr>
        <w:t xml:space="preserve">de rupture d’accès </w:t>
      </w:r>
      <w:r w:rsidR="003744D4" w:rsidRPr="00B2202E">
        <w:rPr>
          <w:rFonts w:ascii="Times" w:hAnsi="Times" w:cs="Times"/>
          <w:snapToGrid w:val="0"/>
          <w:sz w:val="22"/>
          <w:szCs w:val="22"/>
        </w:rPr>
        <w:t>s</w:t>
      </w:r>
      <w:r w:rsidR="003744D4" w:rsidRPr="00B2202E">
        <w:rPr>
          <w:rFonts w:ascii="Times" w:hAnsi="Times" w:cs="Times"/>
          <w:color w:val="000000"/>
          <w:sz w:val="22"/>
          <w:szCs w:val="22"/>
          <w:shd w:val="clear" w:color="auto" w:fill="FFFFFF"/>
        </w:rPr>
        <w:t xml:space="preserve">ans remise en fonctionnement dans des délais raisonnables </w:t>
      </w:r>
      <w:r w:rsidRPr="00B2202E">
        <w:rPr>
          <w:rFonts w:ascii="Times" w:hAnsi="Times" w:cs="Times"/>
          <w:snapToGrid w:val="0"/>
          <w:sz w:val="22"/>
          <w:szCs w:val="22"/>
        </w:rPr>
        <w:t>ou en cas de non réponse</w:t>
      </w:r>
      <w:r w:rsidRPr="00CC3A28">
        <w:rPr>
          <w:rFonts w:ascii="Times" w:hAnsi="Times"/>
          <w:snapToGrid w:val="0"/>
          <w:sz w:val="22"/>
          <w:szCs w:val="22"/>
        </w:rPr>
        <w:t xml:space="preserv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0E8B8DE3"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xml:space="preserve">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0FCA618E" w:rsidR="00A24BAC" w:rsidRDefault="00D37ED3">
      <w:pPr>
        <w:jc w:val="both"/>
        <w:rPr>
          <w:rFonts w:ascii="Times" w:hAnsi="Times"/>
          <w:snapToGrid w:val="0"/>
          <w:color w:val="000000"/>
          <w:sz w:val="22"/>
          <w:szCs w:val="22"/>
        </w:rPr>
      </w:pPr>
      <w:r>
        <w:rPr>
          <w:rFonts w:ascii="Times" w:hAnsi="Times"/>
          <w:snapToGrid w:val="0"/>
          <w:color w:val="000000"/>
          <w:sz w:val="22"/>
          <w:szCs w:val="22"/>
        </w:rPr>
        <w:t>L’</w:t>
      </w:r>
      <w:r w:rsidR="00FE19FC">
        <w:rPr>
          <w:rFonts w:ascii="Times" w:hAnsi="Times"/>
          <w:snapToGrid w:val="0"/>
          <w:color w:val="000000"/>
          <w:sz w:val="22"/>
          <w:szCs w:val="22"/>
        </w:rPr>
        <w:t>A</w:t>
      </w:r>
      <w:r>
        <w:rPr>
          <w:rFonts w:ascii="Times" w:hAnsi="Times"/>
          <w:snapToGrid w:val="0"/>
          <w:color w:val="000000"/>
          <w:sz w:val="22"/>
          <w:szCs w:val="22"/>
        </w:rPr>
        <w:t xml:space="preserve">bonné se réserve le droit de résilier le présent </w:t>
      </w:r>
      <w:r w:rsidR="00575F93">
        <w:rPr>
          <w:rFonts w:ascii="Times" w:hAnsi="Times"/>
          <w:snapToGrid w:val="0"/>
          <w:color w:val="000000"/>
          <w:sz w:val="22"/>
          <w:szCs w:val="22"/>
        </w:rPr>
        <w:t>contrat</w:t>
      </w:r>
      <w:r>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057F4BCE"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342AFCC0" w:rsidR="00A24BAC" w:rsidRPr="002D7EC2" w:rsidRDefault="00A24BAC">
      <w:pPr>
        <w:jc w:val="both"/>
        <w:rPr>
          <w:rFonts w:ascii="Times" w:hAnsi="Times"/>
          <w:snapToGrid w:val="0"/>
          <w:color w:val="000000"/>
          <w:sz w:val="22"/>
          <w:szCs w:val="22"/>
        </w:rPr>
      </w:pPr>
      <w:r w:rsidRPr="00CC3A28">
        <w:rPr>
          <w:rFonts w:ascii="Times" w:hAnsi="Times"/>
          <w:snapToGrid w:val="0"/>
          <w:sz w:val="22"/>
          <w:szCs w:val="22"/>
        </w:rPr>
        <w:t xml:space="preserve">9.4 À la résiliation de ce </w:t>
      </w:r>
      <w:r w:rsidR="00EC0442">
        <w:rPr>
          <w:rFonts w:ascii="Times" w:hAnsi="Times"/>
          <w:snapToGrid w:val="0"/>
          <w:sz w:val="22"/>
          <w:szCs w:val="22"/>
        </w:rPr>
        <w:t>c</w:t>
      </w:r>
      <w:r w:rsidR="00575F93">
        <w:rPr>
          <w:rFonts w:ascii="Times" w:hAnsi="Times"/>
          <w:snapToGrid w:val="0"/>
          <w:sz w:val="22"/>
          <w:szCs w:val="22"/>
        </w:rPr>
        <w:t>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Pr="00936515">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936515">
        <w:rPr>
          <w:rFonts w:ascii="Times" w:hAnsi="Times"/>
          <w:sz w:val="22"/>
          <w:szCs w:val="22"/>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936515">
        <w:rPr>
          <w:rFonts w:ascii="Times" w:hAnsi="Times"/>
          <w:sz w:val="22"/>
          <w:szCs w:val="22"/>
        </w:rPr>
        <w:t>à l’Abonné</w:t>
      </w:r>
      <w:r w:rsidRPr="002D7EC2">
        <w:rPr>
          <w:rFonts w:ascii="Times" w:hAnsi="Times"/>
          <w:snapToGrid w:val="0"/>
          <w:color w:val="000000"/>
          <w:sz w:val="22"/>
          <w:szCs w:val="22"/>
        </w:rPr>
        <w:t xml:space="preserve">, dans la mesure où </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lastRenderedPageBreak/>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lastRenderedPageBreak/>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0411E3F5"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7B4074C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w:t>
      </w:r>
      <w:proofErr w:type="spellStart"/>
      <w:r w:rsidRPr="002D7EC2">
        <w:rPr>
          <w:rFonts w:ascii="Times" w:hAnsi="Times"/>
          <w:snapToGrid w:val="0"/>
          <w:color w:val="000000"/>
          <w:sz w:val="22"/>
          <w:szCs w:val="22"/>
        </w:rPr>
        <w:t>confomément</w:t>
      </w:r>
      <w:proofErr w:type="spellEnd"/>
      <w:r w:rsidRPr="002D7EC2">
        <w:rPr>
          <w:rFonts w:ascii="Times" w:hAnsi="Times"/>
          <w:snapToGrid w:val="0"/>
          <w:color w:val="000000"/>
          <w:sz w:val="22"/>
          <w:szCs w:val="22"/>
        </w:rPr>
        <w:t xml:space="preserve">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07A3BCD4" w14:textId="77777777" w:rsidR="008D7E84" w:rsidRPr="00662F2F" w:rsidRDefault="008D7E84" w:rsidP="008D7E84">
      <w:pPr>
        <w:tabs>
          <w:tab w:val="left" w:pos="720"/>
          <w:tab w:val="left" w:pos="1440"/>
          <w:tab w:val="left" w:pos="2160"/>
        </w:tabs>
        <w:autoSpaceDE w:val="0"/>
        <w:autoSpaceDN w:val="0"/>
        <w:outlineLvl w:val="0"/>
        <w:rPr>
          <w:rFonts w:ascii="Times" w:hAnsi="Times"/>
          <w:b/>
          <w:bCs/>
          <w:sz w:val="22"/>
          <w:szCs w:val="22"/>
        </w:rPr>
      </w:pPr>
      <w:r w:rsidRPr="00662F2F">
        <w:rPr>
          <w:b/>
          <w:bCs/>
          <w:sz w:val="22"/>
          <w:szCs w:val="22"/>
          <w:lang w:val="fr-BE" w:eastAsia="fr-BE"/>
        </w:rPr>
        <w:t xml:space="preserve">Lefebvre </w:t>
      </w:r>
      <w:proofErr w:type="spellStart"/>
      <w:r w:rsidRPr="00662F2F">
        <w:rPr>
          <w:b/>
          <w:bCs/>
          <w:sz w:val="22"/>
          <w:szCs w:val="22"/>
          <w:lang w:val="fr-BE" w:eastAsia="fr-BE"/>
        </w:rPr>
        <w:t>Sarrut</w:t>
      </w:r>
      <w:proofErr w:type="spellEnd"/>
      <w:r w:rsidRPr="00662F2F">
        <w:rPr>
          <w:b/>
          <w:bCs/>
          <w:sz w:val="22"/>
          <w:szCs w:val="22"/>
          <w:lang w:val="fr-BE" w:eastAsia="fr-BE"/>
        </w:rPr>
        <w:t xml:space="preserve"> </w:t>
      </w:r>
      <w:proofErr w:type="spellStart"/>
      <w:r w:rsidRPr="00662F2F">
        <w:rPr>
          <w:b/>
          <w:bCs/>
          <w:sz w:val="22"/>
          <w:szCs w:val="22"/>
          <w:lang w:val="fr-BE" w:eastAsia="fr-BE"/>
        </w:rPr>
        <w:t>Belgium</w:t>
      </w:r>
      <w:proofErr w:type="spellEnd"/>
      <w:r w:rsidRPr="00662F2F">
        <w:rPr>
          <w:b/>
          <w:bCs/>
          <w:sz w:val="22"/>
          <w:szCs w:val="22"/>
          <w:lang w:val="fr-BE" w:eastAsia="fr-BE"/>
        </w:rPr>
        <w:t xml:space="preserve"> SA </w:t>
      </w:r>
    </w:p>
    <w:p w14:paraId="2EE052DD" w14:textId="77777777" w:rsidR="008D7E84" w:rsidRDefault="008D7E84" w:rsidP="008D7E84">
      <w:pPr>
        <w:jc w:val="both"/>
        <w:rPr>
          <w:rFonts w:ascii="Times" w:hAnsi="Times"/>
          <w:snapToGrid w:val="0"/>
          <w:color w:val="000000"/>
          <w:sz w:val="22"/>
          <w:szCs w:val="22"/>
        </w:rPr>
      </w:pPr>
      <w:r>
        <w:rPr>
          <w:rFonts w:ascii="Times" w:hAnsi="Times"/>
          <w:snapToGrid w:val="0"/>
          <w:color w:val="000000"/>
          <w:sz w:val="22"/>
          <w:szCs w:val="22"/>
        </w:rPr>
        <w:t xml:space="preserve">Rue Haute 139 boîte 6, </w:t>
      </w:r>
    </w:p>
    <w:p w14:paraId="2F8FB8CE" w14:textId="37B17B9F" w:rsidR="008D7E84" w:rsidRPr="00245D92" w:rsidRDefault="008D7E84" w:rsidP="008D7E84">
      <w:pPr>
        <w:jc w:val="both"/>
        <w:rPr>
          <w:rFonts w:ascii="Times" w:hAnsi="Times"/>
          <w:snapToGrid w:val="0"/>
          <w:color w:val="000000"/>
          <w:sz w:val="22"/>
          <w:szCs w:val="22"/>
        </w:rPr>
      </w:pPr>
      <w:r>
        <w:rPr>
          <w:rFonts w:ascii="Times" w:hAnsi="Times"/>
          <w:snapToGrid w:val="0"/>
          <w:color w:val="000000"/>
          <w:sz w:val="22"/>
          <w:szCs w:val="22"/>
        </w:rPr>
        <w:t>1000 Bruxelles - Belgique</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w:t>
      </w:r>
      <w:r w:rsidRPr="009E2BEF">
        <w:rPr>
          <w:rFonts w:ascii="Times" w:hAnsi="Times"/>
          <w:b/>
          <w:bCs/>
          <w:snapToGrid w:val="0"/>
          <w:color w:val="000000"/>
          <w:sz w:val="22"/>
          <w:szCs w:val="22"/>
          <w:highlight w:val="yellow"/>
        </w:rPr>
        <w:t>NOM LEGAL COMPLET DE L’</w:t>
      </w:r>
      <w:r w:rsidRPr="009E2BEF">
        <w:rPr>
          <w:rFonts w:ascii="Times" w:hAnsi="Times"/>
          <w:b/>
          <w:bCs/>
          <w:caps/>
          <w:sz w:val="22"/>
          <w:szCs w:val="22"/>
          <w:highlight w:val="yellow"/>
        </w:rPr>
        <w:t>établissement</w:t>
      </w:r>
      <w:r w:rsidRPr="009E2BEF">
        <w:rPr>
          <w:rFonts w:ascii="Times" w:hAnsi="Times"/>
          <w:snapToGrid w:val="0"/>
          <w:color w:val="000000"/>
          <w:sz w:val="22"/>
          <w:szCs w:val="22"/>
          <w:highlight w:val="yellow"/>
        </w:rPr>
        <w:t>]</w:t>
      </w:r>
    </w:p>
    <w:p w14:paraId="6F8E85EB" w14:textId="77777777" w:rsidR="00A24BAC" w:rsidRPr="002D7EC2" w:rsidRDefault="00A24BAC">
      <w:pPr>
        <w:jc w:val="both"/>
        <w:rPr>
          <w:rFonts w:ascii="Times" w:hAnsi="Times"/>
          <w:snapToGrid w:val="0"/>
          <w:color w:val="000000"/>
          <w:sz w:val="22"/>
          <w:szCs w:val="22"/>
        </w:rPr>
      </w:pPr>
      <w:r w:rsidRPr="009E2BEF">
        <w:rPr>
          <w:rFonts w:ascii="Times" w:hAnsi="Times"/>
          <w:snapToGrid w:val="0"/>
          <w:color w:val="000000"/>
          <w:sz w:val="22"/>
          <w:szCs w:val="22"/>
          <w:highlight w:val="yellow"/>
        </w:rPr>
        <w:t>[ADRESSE COMPLETE DE L’</w:t>
      </w:r>
      <w:r w:rsidRPr="009E2BEF">
        <w:rPr>
          <w:rFonts w:ascii="Times" w:hAnsi="Times"/>
          <w:caps/>
          <w:sz w:val="22"/>
          <w:szCs w:val="22"/>
          <w:highlight w:val="yellow"/>
        </w:rPr>
        <w:t>établissement</w:t>
      </w:r>
      <w:r w:rsidRPr="009E2BEF">
        <w:rPr>
          <w:rFonts w:ascii="Times" w:hAnsi="Times"/>
          <w:snapToGrid w:val="0"/>
          <w:color w:val="000000"/>
          <w:sz w:val="22"/>
          <w:szCs w:val="22"/>
          <w:highlight w:val="yellow"/>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Fait en </w:t>
      </w:r>
      <w:r w:rsidRPr="009E2BEF">
        <w:rPr>
          <w:rFonts w:ascii="Times" w:hAnsi="Times"/>
          <w:snapToGrid w:val="0"/>
          <w:color w:val="000000"/>
          <w:sz w:val="22"/>
          <w:szCs w:val="22"/>
          <w:highlight w:val="yellow"/>
        </w:rPr>
        <w:t>[X]</w:t>
      </w:r>
      <w:r w:rsidRPr="002D7EC2">
        <w:rPr>
          <w:rFonts w:ascii="Times" w:hAnsi="Times"/>
          <w:snapToGrid w:val="0"/>
          <w:color w:val="000000"/>
          <w:sz w:val="22"/>
          <w:szCs w:val="22"/>
        </w:rPr>
        <w:t xml:space="preserve">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9E2BEF" w:rsidRDefault="00A24BAC">
      <w:pPr>
        <w:jc w:val="both"/>
        <w:rPr>
          <w:rFonts w:ascii="Times" w:hAnsi="Times"/>
          <w:snapToGrid w:val="0"/>
          <w:sz w:val="22"/>
          <w:szCs w:val="22"/>
          <w:highlight w:val="yellow"/>
        </w:rPr>
      </w:pPr>
      <w:r w:rsidRPr="009E2BEF">
        <w:rPr>
          <w:rFonts w:ascii="Times" w:hAnsi="Times"/>
          <w:b/>
          <w:snapToGrid w:val="0"/>
          <w:sz w:val="22"/>
          <w:szCs w:val="22"/>
          <w:highlight w:val="yellow"/>
        </w:rPr>
        <w:t>Abonné</w:t>
      </w:r>
      <w:proofErr w:type="gramStart"/>
      <w:r w:rsidRPr="009E2BEF">
        <w:rPr>
          <w:rFonts w:ascii="Times" w:hAnsi="Times"/>
          <w:b/>
          <w:snapToGrid w:val="0"/>
          <w:sz w:val="22"/>
          <w:szCs w:val="22"/>
          <w:highlight w:val="yellow"/>
        </w:rPr>
        <w:t xml:space="preserve"> :</w:t>
      </w:r>
      <w:r w:rsidRPr="009E2BEF">
        <w:rPr>
          <w:rFonts w:ascii="Times" w:hAnsi="Times"/>
          <w:snapToGrid w:val="0"/>
          <w:sz w:val="22"/>
          <w:szCs w:val="22"/>
          <w:highlight w:val="yellow"/>
        </w:rPr>
        <w:t>_</w:t>
      </w:r>
      <w:proofErr w:type="gramEnd"/>
      <w:r w:rsidRPr="009E2BEF">
        <w:rPr>
          <w:rFonts w:ascii="Times" w:hAnsi="Times"/>
          <w:snapToGrid w:val="0"/>
          <w:sz w:val="22"/>
          <w:szCs w:val="22"/>
          <w:highlight w:val="yellow"/>
        </w:rPr>
        <w:t>______________________________________</w:t>
      </w:r>
    </w:p>
    <w:p w14:paraId="06E0D2C6"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 xml:space="preserve">Signature : </w:t>
      </w:r>
    </w:p>
    <w:p w14:paraId="7A02A548"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Délégation_____________________________________</w:t>
      </w:r>
    </w:p>
    <w:p w14:paraId="528BB391"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Nom _________________________________</w:t>
      </w:r>
    </w:p>
    <w:p w14:paraId="5474979E"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Titre : _______________________________________</w:t>
      </w:r>
    </w:p>
    <w:p w14:paraId="17E96F5A" w14:textId="2A8C15E1" w:rsidR="00A24BAC" w:rsidRPr="009E2BEF" w:rsidRDefault="002D7EC2">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À [LIEU]</w:t>
      </w:r>
      <w:r w:rsidR="00A24BAC" w:rsidRPr="009E2BEF">
        <w:rPr>
          <w:rFonts w:ascii="Times" w:hAnsi="Times"/>
          <w:snapToGrid w:val="0"/>
          <w:color w:val="000000"/>
          <w:sz w:val="22"/>
          <w:szCs w:val="22"/>
          <w:highlight w:val="yellow"/>
        </w:rPr>
        <w:t>, le :</w:t>
      </w:r>
    </w:p>
    <w:p w14:paraId="71619933"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Date : __________________________________________</w:t>
      </w:r>
    </w:p>
    <w:p w14:paraId="483F1AA2" w14:textId="77777777" w:rsidR="00A24BAC" w:rsidRPr="009E2BEF" w:rsidRDefault="00A24BAC">
      <w:pPr>
        <w:jc w:val="both"/>
        <w:rPr>
          <w:rFonts w:ascii="Times" w:hAnsi="Times"/>
          <w:snapToGrid w:val="0"/>
          <w:color w:val="000000"/>
          <w:sz w:val="22"/>
          <w:szCs w:val="22"/>
          <w:highlight w:val="yellow"/>
        </w:rPr>
      </w:pPr>
    </w:p>
    <w:p w14:paraId="37EDA247" w14:textId="77777777" w:rsidR="00A24BAC" w:rsidRPr="009E2BEF" w:rsidRDefault="00A24BAC">
      <w:pPr>
        <w:jc w:val="both"/>
        <w:rPr>
          <w:rFonts w:ascii="Times" w:hAnsi="Times"/>
          <w:snapToGrid w:val="0"/>
          <w:color w:val="000000"/>
          <w:sz w:val="22"/>
          <w:szCs w:val="22"/>
          <w:highlight w:val="yellow"/>
        </w:rPr>
      </w:pPr>
      <w:r w:rsidRPr="009E2BEF">
        <w:rPr>
          <w:rFonts w:ascii="Times" w:hAnsi="Times"/>
          <w:b/>
          <w:snapToGrid w:val="0"/>
          <w:color w:val="000000"/>
          <w:sz w:val="22"/>
          <w:szCs w:val="22"/>
          <w:highlight w:val="yellow"/>
        </w:rPr>
        <w:t xml:space="preserve">Concédant </w:t>
      </w:r>
      <w:r w:rsidRPr="009E2BEF">
        <w:rPr>
          <w:rFonts w:ascii="Times" w:hAnsi="Times"/>
          <w:snapToGrid w:val="0"/>
          <w:color w:val="000000"/>
          <w:sz w:val="22"/>
          <w:szCs w:val="22"/>
          <w:highlight w:val="yellow"/>
        </w:rPr>
        <w:t>:</w:t>
      </w:r>
    </w:p>
    <w:p w14:paraId="32774713" w14:textId="77777777" w:rsidR="00A24BAC" w:rsidRPr="009E2BEF" w:rsidRDefault="00A24BAC">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Signature : ______________________________________</w:t>
      </w:r>
    </w:p>
    <w:p w14:paraId="24EE701B" w14:textId="77777777" w:rsidR="00A24BAC" w:rsidRPr="009E2BEF" w:rsidRDefault="00B6149B">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 xml:space="preserve">Nom : </w:t>
      </w:r>
    </w:p>
    <w:p w14:paraId="6A4F8B3B" w14:textId="77777777" w:rsidR="00A24BAC" w:rsidRPr="009E2BEF" w:rsidRDefault="00B6149B">
      <w:pPr>
        <w:jc w:val="both"/>
        <w:rPr>
          <w:rFonts w:ascii="Times" w:hAnsi="Times"/>
          <w:snapToGrid w:val="0"/>
          <w:color w:val="000000"/>
          <w:sz w:val="22"/>
          <w:szCs w:val="22"/>
          <w:highlight w:val="yellow"/>
        </w:rPr>
      </w:pPr>
      <w:r w:rsidRPr="009E2BEF">
        <w:rPr>
          <w:rFonts w:ascii="Times" w:hAnsi="Times"/>
          <w:snapToGrid w:val="0"/>
          <w:color w:val="000000"/>
          <w:sz w:val="22"/>
          <w:szCs w:val="22"/>
          <w:highlight w:val="yellow"/>
        </w:rPr>
        <w:t xml:space="preserve">Titre : </w:t>
      </w:r>
    </w:p>
    <w:p w14:paraId="089D44F5" w14:textId="77777777" w:rsidR="00A24BAC" w:rsidRPr="002D7EC2" w:rsidRDefault="00A24BAC">
      <w:pPr>
        <w:jc w:val="both"/>
        <w:rPr>
          <w:rFonts w:ascii="Times" w:hAnsi="Times"/>
          <w:snapToGrid w:val="0"/>
          <w:color w:val="000000"/>
          <w:sz w:val="22"/>
          <w:szCs w:val="22"/>
        </w:rPr>
      </w:pPr>
      <w:r w:rsidRPr="009E2BEF">
        <w:rPr>
          <w:rFonts w:ascii="Times" w:hAnsi="Times"/>
          <w:snapToGrid w:val="0"/>
          <w:color w:val="000000"/>
          <w:sz w:val="22"/>
          <w:szCs w:val="22"/>
          <w:highlight w:val="yellow"/>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9E2BEF">
        <w:rPr>
          <w:rFonts w:ascii="Times" w:hAnsi="Times"/>
          <w:b/>
          <w:bCs/>
          <w:snapToGrid w:val="0"/>
          <w:color w:val="000000"/>
          <w:sz w:val="22"/>
          <w:szCs w:val="22"/>
          <w:highlight w:val="yellow"/>
        </w:rPr>
        <w:lastRenderedPageBreak/>
        <w:t xml:space="preserve">Annexes au </w:t>
      </w:r>
      <w:r w:rsidR="00EC0442" w:rsidRPr="009E2BEF">
        <w:rPr>
          <w:rFonts w:ascii="Times" w:hAnsi="Times"/>
          <w:b/>
          <w:bCs/>
          <w:snapToGrid w:val="0"/>
          <w:color w:val="000000"/>
          <w:sz w:val="22"/>
          <w:szCs w:val="22"/>
          <w:highlight w:val="yellow"/>
        </w:rPr>
        <w:t>c</w:t>
      </w:r>
      <w:r w:rsidR="00575F93" w:rsidRPr="009E2BEF">
        <w:rPr>
          <w:rFonts w:ascii="Times" w:hAnsi="Times"/>
          <w:b/>
          <w:bCs/>
          <w:snapToGrid w:val="0"/>
          <w:color w:val="000000"/>
          <w:sz w:val="22"/>
          <w:szCs w:val="22"/>
          <w:highlight w:val="yellow"/>
        </w:rPr>
        <w:t>ontrat</w:t>
      </w:r>
      <w:r w:rsidRPr="009E2BEF">
        <w:rPr>
          <w:rFonts w:ascii="Times" w:hAnsi="Times"/>
          <w:b/>
          <w:bCs/>
          <w:snapToGrid w:val="0"/>
          <w:color w:val="000000"/>
          <w:sz w:val="22"/>
          <w:szCs w:val="22"/>
          <w:highlight w:val="yellow"/>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4C4355A8"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xml:space="preserve">] et le concédant est établi pour une durée de </w:t>
      </w:r>
      <w:r w:rsidRPr="009E2BEF">
        <w:rPr>
          <w:rFonts w:ascii="Times" w:hAnsi="Times"/>
          <w:color w:val="auto"/>
          <w:szCs w:val="22"/>
          <w:highlight w:val="yellow"/>
        </w:rPr>
        <w:t>[DURÉE] à compter du [DATE]</w:t>
      </w:r>
      <w:r w:rsidRPr="002D7EC2">
        <w:rPr>
          <w:rFonts w:ascii="Times" w:hAnsi="Times"/>
          <w:color w:val="auto"/>
          <w:szCs w:val="22"/>
        </w:rPr>
        <w:t xml:space="preserve"> (ci</w:t>
      </w:r>
      <w:r w:rsidR="00B2202E">
        <w:rPr>
          <w:rFonts w:ascii="Times" w:hAnsi="Times"/>
          <w:color w:val="auto"/>
          <w:szCs w:val="22"/>
        </w:rPr>
        <w:t>-</w:t>
      </w:r>
      <w:r w:rsidRPr="002D7EC2">
        <w:rPr>
          <w:rFonts w:ascii="Times" w:hAnsi="Times"/>
          <w:color w:val="auto"/>
          <w:szCs w:val="22"/>
        </w:rPr>
        <w:t>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0AC7E244" w:rsidR="00A24BAC"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B2202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31401243" w14:textId="020959BA" w:rsidR="00E374C9" w:rsidRDefault="00E374C9">
      <w:pPr>
        <w:jc w:val="both"/>
        <w:rPr>
          <w:rFonts w:ascii="Times" w:hAnsi="Times"/>
          <w:snapToGrid w:val="0"/>
          <w:sz w:val="22"/>
          <w:szCs w:val="22"/>
        </w:rPr>
      </w:pPr>
    </w:p>
    <w:tbl>
      <w:tblPr>
        <w:tblW w:w="9072" w:type="dxa"/>
        <w:tblCellMar>
          <w:left w:w="70" w:type="dxa"/>
          <w:right w:w="70" w:type="dxa"/>
        </w:tblCellMar>
        <w:tblLook w:val="04A0" w:firstRow="1" w:lastRow="0" w:firstColumn="1" w:lastColumn="0" w:noHBand="0" w:noVBand="1"/>
      </w:tblPr>
      <w:tblGrid>
        <w:gridCol w:w="2268"/>
        <w:gridCol w:w="2268"/>
        <w:gridCol w:w="2268"/>
        <w:gridCol w:w="2268"/>
      </w:tblGrid>
      <w:tr w:rsidR="00BD668A" w:rsidRPr="00BD668A" w14:paraId="3806F23C" w14:textId="77777777" w:rsidTr="00BD668A">
        <w:trPr>
          <w:trHeight w:val="300"/>
        </w:trPr>
        <w:tc>
          <w:tcPr>
            <w:tcW w:w="4536" w:type="dxa"/>
            <w:gridSpan w:val="2"/>
            <w:tcBorders>
              <w:top w:val="nil"/>
              <w:left w:val="nil"/>
              <w:bottom w:val="nil"/>
              <w:right w:val="nil"/>
            </w:tcBorders>
            <w:shd w:val="clear" w:color="auto" w:fill="auto"/>
            <w:noWrap/>
            <w:vAlign w:val="bottom"/>
            <w:hideMark/>
          </w:tcPr>
          <w:p w14:paraId="669B0A8A" w14:textId="41107F3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Tarifs HT* 202</w:t>
            </w:r>
            <w:r w:rsidR="007C583E">
              <w:rPr>
                <w:rFonts w:ascii="Calibri" w:hAnsi="Calibri" w:cs="Calibri"/>
                <w:color w:val="000000"/>
                <w:sz w:val="22"/>
                <w:szCs w:val="22"/>
              </w:rPr>
              <w:t>4</w:t>
            </w:r>
            <w:r w:rsidRPr="00BD668A">
              <w:rPr>
                <w:rFonts w:ascii="Calibri" w:hAnsi="Calibri" w:cs="Calibri"/>
                <w:color w:val="000000"/>
                <w:sz w:val="22"/>
                <w:szCs w:val="22"/>
              </w:rPr>
              <w:t>-202</w:t>
            </w:r>
            <w:r w:rsidR="007C583E">
              <w:rPr>
                <w:rFonts w:ascii="Calibri" w:hAnsi="Calibri" w:cs="Calibri"/>
                <w:color w:val="000000"/>
                <w:sz w:val="22"/>
                <w:szCs w:val="22"/>
              </w:rPr>
              <w:t>5</w:t>
            </w:r>
          </w:p>
        </w:tc>
        <w:tc>
          <w:tcPr>
            <w:tcW w:w="2268" w:type="dxa"/>
            <w:tcBorders>
              <w:top w:val="nil"/>
              <w:left w:val="nil"/>
              <w:bottom w:val="nil"/>
              <w:right w:val="nil"/>
            </w:tcBorders>
            <w:shd w:val="clear" w:color="auto" w:fill="auto"/>
            <w:noWrap/>
            <w:vAlign w:val="bottom"/>
            <w:hideMark/>
          </w:tcPr>
          <w:p w14:paraId="64F04000" w14:textId="77777777" w:rsidR="00BD668A" w:rsidRPr="00BD668A" w:rsidRDefault="00BD668A" w:rsidP="00BD668A">
            <w:pPr>
              <w:rPr>
                <w:rFonts w:ascii="Calibri" w:hAnsi="Calibri" w:cs="Calibri"/>
                <w:color w:val="000000"/>
                <w:sz w:val="22"/>
                <w:szCs w:val="22"/>
              </w:rPr>
            </w:pPr>
          </w:p>
        </w:tc>
        <w:tc>
          <w:tcPr>
            <w:tcW w:w="2268" w:type="dxa"/>
            <w:tcBorders>
              <w:top w:val="nil"/>
              <w:left w:val="nil"/>
              <w:bottom w:val="nil"/>
              <w:right w:val="nil"/>
            </w:tcBorders>
            <w:shd w:val="clear" w:color="auto" w:fill="auto"/>
            <w:noWrap/>
            <w:vAlign w:val="bottom"/>
            <w:hideMark/>
          </w:tcPr>
          <w:p w14:paraId="6FD4211B" w14:textId="77777777" w:rsidR="00BD668A" w:rsidRPr="00BD668A" w:rsidRDefault="00BD668A" w:rsidP="00BD668A"/>
        </w:tc>
      </w:tr>
      <w:tr w:rsidR="00BD668A" w:rsidRPr="00BD668A" w14:paraId="59A3F856" w14:textId="77777777" w:rsidTr="00BD668A">
        <w:trPr>
          <w:trHeight w:val="300"/>
        </w:trPr>
        <w:tc>
          <w:tcPr>
            <w:tcW w:w="9072" w:type="dxa"/>
            <w:gridSpan w:val="4"/>
            <w:tcBorders>
              <w:top w:val="nil"/>
              <w:left w:val="nil"/>
              <w:bottom w:val="nil"/>
              <w:right w:val="nil"/>
            </w:tcBorders>
            <w:shd w:val="clear" w:color="auto" w:fill="auto"/>
            <w:noWrap/>
            <w:vAlign w:val="bottom"/>
            <w:hideMark/>
          </w:tcPr>
          <w:p w14:paraId="7D87B126" w14:textId="77777777" w:rsidR="00BD668A" w:rsidRPr="00BD668A" w:rsidRDefault="00BD668A" w:rsidP="00BD668A">
            <w:pPr>
              <w:rPr>
                <w:rFonts w:ascii="Calibri" w:hAnsi="Calibri" w:cs="Calibri"/>
                <w:b/>
                <w:bCs/>
                <w:color w:val="000000"/>
                <w:sz w:val="22"/>
                <w:szCs w:val="22"/>
              </w:rPr>
            </w:pPr>
            <w:r w:rsidRPr="00BD668A">
              <w:rPr>
                <w:rFonts w:ascii="Calibri" w:hAnsi="Calibri" w:cs="Calibri"/>
                <w:b/>
                <w:bCs/>
                <w:color w:val="000000"/>
                <w:sz w:val="22"/>
                <w:szCs w:val="22"/>
              </w:rPr>
              <w:t>Abonnement à la formule "</w:t>
            </w:r>
            <w:proofErr w:type="spellStart"/>
            <w:r w:rsidRPr="00BD668A">
              <w:rPr>
                <w:rFonts w:ascii="Calibri" w:hAnsi="Calibri" w:cs="Calibri"/>
                <w:b/>
                <w:bCs/>
                <w:color w:val="000000"/>
                <w:sz w:val="22"/>
                <w:szCs w:val="22"/>
              </w:rPr>
              <w:t>Classic</w:t>
            </w:r>
            <w:proofErr w:type="spellEnd"/>
            <w:r w:rsidRPr="00BD668A">
              <w:rPr>
                <w:rFonts w:ascii="Calibri" w:hAnsi="Calibri" w:cs="Calibri"/>
                <w:b/>
                <w:bCs/>
                <w:color w:val="000000"/>
                <w:sz w:val="22"/>
                <w:szCs w:val="22"/>
              </w:rPr>
              <w:t>" (accès aux revues et activation des ebooks depuis les versions papier acquises)</w:t>
            </w:r>
          </w:p>
        </w:tc>
      </w:tr>
      <w:tr w:rsidR="00BD668A" w:rsidRPr="00BD668A" w14:paraId="03F76639" w14:textId="77777777" w:rsidTr="00BD668A">
        <w:trPr>
          <w:trHeight w:val="315"/>
        </w:trPr>
        <w:tc>
          <w:tcPr>
            <w:tcW w:w="2268" w:type="dxa"/>
            <w:tcBorders>
              <w:top w:val="nil"/>
              <w:left w:val="nil"/>
              <w:bottom w:val="nil"/>
              <w:right w:val="nil"/>
            </w:tcBorders>
            <w:shd w:val="clear" w:color="auto" w:fill="auto"/>
            <w:noWrap/>
            <w:vAlign w:val="bottom"/>
            <w:hideMark/>
          </w:tcPr>
          <w:p w14:paraId="027AED10" w14:textId="77777777" w:rsidR="00BD668A" w:rsidRPr="00BD668A" w:rsidRDefault="00BD668A" w:rsidP="00BD668A">
            <w:pPr>
              <w:rPr>
                <w:rFonts w:ascii="Calibri" w:hAnsi="Calibri" w:cs="Calibri"/>
                <w:b/>
                <w:bCs/>
                <w:color w:val="000000"/>
                <w:sz w:val="22"/>
                <w:szCs w:val="22"/>
              </w:rPr>
            </w:pPr>
          </w:p>
        </w:tc>
        <w:tc>
          <w:tcPr>
            <w:tcW w:w="2268" w:type="dxa"/>
            <w:tcBorders>
              <w:top w:val="nil"/>
              <w:left w:val="nil"/>
              <w:bottom w:val="nil"/>
              <w:right w:val="nil"/>
            </w:tcBorders>
            <w:shd w:val="clear" w:color="auto" w:fill="auto"/>
            <w:noWrap/>
            <w:vAlign w:val="bottom"/>
            <w:hideMark/>
          </w:tcPr>
          <w:p w14:paraId="40E52EEB"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3345B861"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14BF24E7" w14:textId="77777777" w:rsidR="00BD668A" w:rsidRPr="00BD668A" w:rsidRDefault="00BD668A" w:rsidP="00BD668A"/>
        </w:tc>
      </w:tr>
      <w:tr w:rsidR="00BD668A" w:rsidRPr="00BD668A" w14:paraId="63E8BF59" w14:textId="77777777" w:rsidTr="00866033">
        <w:trPr>
          <w:trHeight w:val="1545"/>
        </w:trPr>
        <w:tc>
          <w:tcPr>
            <w:tcW w:w="2268" w:type="dxa"/>
            <w:tcBorders>
              <w:top w:val="single" w:sz="8" w:space="0" w:color="auto"/>
              <w:left w:val="single" w:sz="8" w:space="0" w:color="auto"/>
              <w:bottom w:val="single" w:sz="4" w:space="0" w:color="auto"/>
              <w:right w:val="single" w:sz="4" w:space="0" w:color="auto"/>
            </w:tcBorders>
            <w:shd w:val="clear" w:color="000000" w:fill="D9E1F2"/>
            <w:vAlign w:val="bottom"/>
            <w:hideMark/>
          </w:tcPr>
          <w:p w14:paraId="451943F1"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Tranches tarifaires</w:t>
            </w:r>
            <w:r w:rsidRPr="00BD668A">
              <w:rPr>
                <w:rFonts w:ascii="Calibri" w:hAnsi="Calibri" w:cs="Calibri"/>
                <w:color w:val="000000"/>
                <w:sz w:val="22"/>
                <w:szCs w:val="22"/>
              </w:rPr>
              <w:br/>
              <w:t>Nombre d'étudiants MD en Sciences juridiques</w:t>
            </w:r>
          </w:p>
        </w:tc>
        <w:tc>
          <w:tcPr>
            <w:tcW w:w="2268" w:type="dxa"/>
            <w:tcBorders>
              <w:top w:val="single" w:sz="8" w:space="0" w:color="auto"/>
              <w:left w:val="nil"/>
              <w:bottom w:val="single" w:sz="4" w:space="0" w:color="auto"/>
              <w:right w:val="single" w:sz="4" w:space="0" w:color="auto"/>
            </w:tcBorders>
            <w:shd w:val="clear" w:color="000000" w:fill="F8CBAD"/>
            <w:vAlign w:val="bottom"/>
            <w:hideMark/>
          </w:tcPr>
          <w:p w14:paraId="755046F8" w14:textId="62D2C65C"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xml:space="preserve">Formule </w:t>
            </w:r>
            <w:proofErr w:type="spellStart"/>
            <w:r w:rsidRPr="00BD668A">
              <w:rPr>
                <w:rFonts w:ascii="Calibri" w:hAnsi="Calibri" w:cs="Calibri"/>
                <w:color w:val="000000"/>
                <w:sz w:val="22"/>
                <w:szCs w:val="22"/>
              </w:rPr>
              <w:t>Classic</w:t>
            </w:r>
            <w:proofErr w:type="spellEnd"/>
            <w:r w:rsidRPr="00BD668A">
              <w:rPr>
                <w:rFonts w:ascii="Calibri" w:hAnsi="Calibri" w:cs="Calibri"/>
                <w:color w:val="000000"/>
                <w:sz w:val="22"/>
                <w:szCs w:val="22"/>
              </w:rPr>
              <w:br/>
              <w:t xml:space="preserve">Un an </w:t>
            </w:r>
            <w:r w:rsidRPr="00BD668A">
              <w:rPr>
                <w:rFonts w:ascii="Calibri" w:hAnsi="Calibri" w:cs="Calibri"/>
                <w:color w:val="000000"/>
                <w:sz w:val="22"/>
                <w:szCs w:val="22"/>
              </w:rPr>
              <w:br/>
              <w:t>Prix 202</w:t>
            </w:r>
            <w:r w:rsidR="00866033">
              <w:rPr>
                <w:rFonts w:ascii="Calibri" w:hAnsi="Calibri" w:cs="Calibri"/>
                <w:color w:val="000000"/>
                <w:sz w:val="22"/>
                <w:szCs w:val="22"/>
              </w:rPr>
              <w:t>4</w:t>
            </w:r>
            <w:r w:rsidRPr="00BD668A">
              <w:rPr>
                <w:rFonts w:ascii="Calibri" w:hAnsi="Calibri" w:cs="Calibri"/>
                <w:color w:val="000000"/>
                <w:sz w:val="22"/>
                <w:szCs w:val="22"/>
              </w:rPr>
              <w:t xml:space="preserve"> et/ou 202</w:t>
            </w:r>
            <w:r w:rsidR="00866033">
              <w:rPr>
                <w:rFonts w:ascii="Calibri" w:hAnsi="Calibri" w:cs="Calibri"/>
                <w:color w:val="000000"/>
                <w:sz w:val="22"/>
                <w:szCs w:val="22"/>
              </w:rPr>
              <w:t>5</w:t>
            </w:r>
          </w:p>
        </w:tc>
        <w:tc>
          <w:tcPr>
            <w:tcW w:w="2268" w:type="dxa"/>
            <w:tcBorders>
              <w:top w:val="single" w:sz="8" w:space="0" w:color="auto"/>
              <w:left w:val="nil"/>
              <w:bottom w:val="single" w:sz="4" w:space="0" w:color="auto"/>
              <w:right w:val="single" w:sz="8" w:space="0" w:color="auto"/>
            </w:tcBorders>
            <w:shd w:val="clear" w:color="000000" w:fill="C6E0B4"/>
            <w:vAlign w:val="bottom"/>
            <w:hideMark/>
          </w:tcPr>
          <w:p w14:paraId="23BF90CE" w14:textId="66187CB6"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xml:space="preserve">Formule </w:t>
            </w:r>
            <w:proofErr w:type="spellStart"/>
            <w:r w:rsidRPr="00BD668A">
              <w:rPr>
                <w:rFonts w:ascii="Calibri" w:hAnsi="Calibri" w:cs="Calibri"/>
                <w:color w:val="000000"/>
                <w:sz w:val="22"/>
                <w:szCs w:val="22"/>
              </w:rPr>
              <w:t>Classic</w:t>
            </w:r>
            <w:proofErr w:type="spellEnd"/>
            <w:r w:rsidRPr="00BD668A">
              <w:rPr>
                <w:rFonts w:ascii="Calibri" w:hAnsi="Calibri" w:cs="Calibri"/>
                <w:color w:val="000000"/>
                <w:sz w:val="22"/>
                <w:szCs w:val="22"/>
              </w:rPr>
              <w:br/>
              <w:t xml:space="preserve">Engagement sur 2 ans** </w:t>
            </w:r>
            <w:r w:rsidRPr="00BD668A">
              <w:rPr>
                <w:rFonts w:ascii="Calibri" w:hAnsi="Calibri" w:cs="Calibri"/>
                <w:color w:val="000000"/>
                <w:sz w:val="22"/>
                <w:szCs w:val="22"/>
              </w:rPr>
              <w:br/>
              <w:t>Prix annuel pour 202</w:t>
            </w:r>
            <w:r w:rsidR="00866033">
              <w:rPr>
                <w:rFonts w:ascii="Calibri" w:hAnsi="Calibri" w:cs="Calibri"/>
                <w:color w:val="000000"/>
                <w:sz w:val="22"/>
                <w:szCs w:val="22"/>
              </w:rPr>
              <w:t>4</w:t>
            </w:r>
            <w:r w:rsidRPr="00BD668A">
              <w:rPr>
                <w:rFonts w:ascii="Calibri" w:hAnsi="Calibri" w:cs="Calibri"/>
                <w:color w:val="000000"/>
                <w:sz w:val="22"/>
                <w:szCs w:val="22"/>
              </w:rPr>
              <w:t xml:space="preserve"> et 202</w:t>
            </w:r>
            <w:r w:rsidR="00866033">
              <w:rPr>
                <w:rFonts w:ascii="Calibri" w:hAnsi="Calibri" w:cs="Calibri"/>
                <w:color w:val="000000"/>
                <w:sz w:val="22"/>
                <w:szCs w:val="22"/>
              </w:rPr>
              <w:t>5</w:t>
            </w:r>
          </w:p>
        </w:tc>
        <w:tc>
          <w:tcPr>
            <w:tcW w:w="2268" w:type="dxa"/>
            <w:tcBorders>
              <w:top w:val="nil"/>
              <w:left w:val="nil"/>
              <w:bottom w:val="nil"/>
              <w:right w:val="nil"/>
            </w:tcBorders>
            <w:shd w:val="clear" w:color="auto" w:fill="auto"/>
            <w:vAlign w:val="bottom"/>
          </w:tcPr>
          <w:p w14:paraId="0722FA4B" w14:textId="620C19F0" w:rsidR="00BD668A" w:rsidRPr="00BD668A" w:rsidRDefault="00BD668A" w:rsidP="00BD668A">
            <w:pPr>
              <w:rPr>
                <w:rFonts w:ascii="Calibri" w:hAnsi="Calibri" w:cs="Calibri"/>
                <w:i/>
                <w:iCs/>
                <w:color w:val="000000"/>
              </w:rPr>
            </w:pPr>
          </w:p>
        </w:tc>
      </w:tr>
      <w:tr w:rsidR="00BD668A" w:rsidRPr="00BD668A" w14:paraId="639C537C" w14:textId="77777777" w:rsidTr="00866033">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14:paraId="7301AAB2"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1FE680D"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single" w:sz="4" w:space="0" w:color="auto"/>
              <w:right w:val="single" w:sz="8" w:space="0" w:color="auto"/>
            </w:tcBorders>
            <w:shd w:val="clear" w:color="auto" w:fill="auto"/>
            <w:noWrap/>
            <w:vAlign w:val="bottom"/>
            <w:hideMark/>
          </w:tcPr>
          <w:p w14:paraId="37EA7817"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nil"/>
              <w:right w:val="nil"/>
            </w:tcBorders>
            <w:shd w:val="clear" w:color="auto" w:fill="auto"/>
            <w:noWrap/>
            <w:vAlign w:val="bottom"/>
          </w:tcPr>
          <w:p w14:paraId="390DDB21" w14:textId="77777777" w:rsidR="00BD668A" w:rsidRPr="00BD668A" w:rsidRDefault="00BD668A" w:rsidP="00BD668A">
            <w:pPr>
              <w:rPr>
                <w:rFonts w:ascii="Calibri" w:hAnsi="Calibri" w:cs="Calibri"/>
                <w:color w:val="000000"/>
                <w:sz w:val="22"/>
                <w:szCs w:val="22"/>
              </w:rPr>
            </w:pPr>
          </w:p>
        </w:tc>
      </w:tr>
      <w:tr w:rsidR="00BD668A" w:rsidRPr="00BD668A" w14:paraId="2F08887B" w14:textId="77777777" w:rsidTr="00866033">
        <w:trPr>
          <w:trHeight w:val="300"/>
        </w:trPr>
        <w:tc>
          <w:tcPr>
            <w:tcW w:w="2268" w:type="dxa"/>
            <w:tcBorders>
              <w:top w:val="nil"/>
              <w:left w:val="single" w:sz="8" w:space="0" w:color="auto"/>
              <w:bottom w:val="single" w:sz="4" w:space="0" w:color="auto"/>
              <w:right w:val="single" w:sz="4" w:space="0" w:color="auto"/>
            </w:tcBorders>
            <w:shd w:val="clear" w:color="000000" w:fill="D6DCE4"/>
            <w:noWrap/>
            <w:vAlign w:val="bottom"/>
            <w:hideMark/>
          </w:tcPr>
          <w:p w14:paraId="7F3B955C"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1 à 500</w:t>
            </w:r>
          </w:p>
        </w:tc>
        <w:tc>
          <w:tcPr>
            <w:tcW w:w="2268" w:type="dxa"/>
            <w:tcBorders>
              <w:top w:val="nil"/>
              <w:left w:val="nil"/>
              <w:bottom w:val="single" w:sz="4" w:space="0" w:color="auto"/>
              <w:right w:val="single" w:sz="4" w:space="0" w:color="auto"/>
            </w:tcBorders>
            <w:shd w:val="clear" w:color="000000" w:fill="F8CBAD"/>
            <w:noWrap/>
            <w:vAlign w:val="bottom"/>
            <w:hideMark/>
          </w:tcPr>
          <w:p w14:paraId="2BDDD80B" w14:textId="568F33E4"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1 5</w:t>
            </w:r>
            <w:r w:rsidR="00866033">
              <w:rPr>
                <w:rFonts w:ascii="Calibri" w:hAnsi="Calibri" w:cs="Calibri"/>
                <w:color w:val="000000"/>
                <w:sz w:val="22"/>
                <w:szCs w:val="22"/>
              </w:rPr>
              <w:t>42</w:t>
            </w:r>
            <w:r w:rsidRPr="00BD668A">
              <w:rPr>
                <w:rFonts w:ascii="Calibri" w:hAnsi="Calibri" w:cs="Calibri"/>
                <w:color w:val="000000"/>
                <w:sz w:val="22"/>
                <w:szCs w:val="22"/>
              </w:rPr>
              <w:t>,</w:t>
            </w:r>
            <w:r w:rsidR="00866033">
              <w:rPr>
                <w:rFonts w:ascii="Calibri" w:hAnsi="Calibri" w:cs="Calibri"/>
                <w:color w:val="000000"/>
                <w:sz w:val="22"/>
                <w:szCs w:val="22"/>
              </w:rPr>
              <w:t>11</w:t>
            </w:r>
            <w:r w:rsidRPr="00BD668A">
              <w:rPr>
                <w:rFonts w:ascii="Calibri" w:hAnsi="Calibri" w:cs="Calibri"/>
                <w:color w:val="000000"/>
                <w:sz w:val="22"/>
                <w:szCs w:val="22"/>
              </w:rPr>
              <w:t xml:space="preserve"> €</w:t>
            </w:r>
          </w:p>
        </w:tc>
        <w:tc>
          <w:tcPr>
            <w:tcW w:w="2268" w:type="dxa"/>
            <w:tcBorders>
              <w:top w:val="nil"/>
              <w:left w:val="nil"/>
              <w:bottom w:val="single" w:sz="4" w:space="0" w:color="auto"/>
              <w:right w:val="single" w:sz="8" w:space="0" w:color="auto"/>
            </w:tcBorders>
            <w:shd w:val="clear" w:color="000000" w:fill="C6E0B4"/>
            <w:noWrap/>
            <w:vAlign w:val="bottom"/>
            <w:hideMark/>
          </w:tcPr>
          <w:p w14:paraId="78B5EDF1" w14:textId="0C8B262F"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1</w:t>
            </w:r>
            <w:r w:rsidR="00866033">
              <w:rPr>
                <w:rFonts w:ascii="Calibri" w:hAnsi="Calibri" w:cs="Calibri"/>
                <w:color w:val="000000"/>
                <w:sz w:val="22"/>
                <w:szCs w:val="22"/>
              </w:rPr>
              <w:t> 360,69</w:t>
            </w:r>
            <w:r w:rsidRPr="00BD668A">
              <w:rPr>
                <w:rFonts w:ascii="Calibri" w:hAnsi="Calibri" w:cs="Calibri"/>
                <w:color w:val="000000"/>
                <w:sz w:val="22"/>
                <w:szCs w:val="22"/>
              </w:rPr>
              <w:t xml:space="preserve"> €</w:t>
            </w:r>
          </w:p>
        </w:tc>
        <w:tc>
          <w:tcPr>
            <w:tcW w:w="2268" w:type="dxa"/>
            <w:tcBorders>
              <w:top w:val="nil"/>
              <w:left w:val="nil"/>
              <w:bottom w:val="nil"/>
              <w:right w:val="nil"/>
            </w:tcBorders>
            <w:shd w:val="clear" w:color="auto" w:fill="auto"/>
            <w:noWrap/>
            <w:vAlign w:val="bottom"/>
          </w:tcPr>
          <w:p w14:paraId="76762F7B" w14:textId="054C06D9" w:rsidR="00BD668A" w:rsidRPr="00BD668A" w:rsidRDefault="00BD668A" w:rsidP="00BD668A">
            <w:pPr>
              <w:jc w:val="right"/>
              <w:rPr>
                <w:rFonts w:ascii="Calibri" w:hAnsi="Calibri" w:cs="Calibri"/>
                <w:i/>
                <w:iCs/>
                <w:color w:val="000000"/>
              </w:rPr>
            </w:pPr>
          </w:p>
        </w:tc>
      </w:tr>
      <w:tr w:rsidR="00BD668A" w:rsidRPr="00BD668A" w14:paraId="593D9313" w14:textId="77777777" w:rsidTr="00866033">
        <w:trPr>
          <w:trHeight w:val="300"/>
        </w:trPr>
        <w:tc>
          <w:tcPr>
            <w:tcW w:w="2268" w:type="dxa"/>
            <w:tcBorders>
              <w:top w:val="nil"/>
              <w:left w:val="single" w:sz="8" w:space="0" w:color="auto"/>
              <w:bottom w:val="single" w:sz="4" w:space="0" w:color="auto"/>
              <w:right w:val="single" w:sz="4" w:space="0" w:color="auto"/>
            </w:tcBorders>
            <w:shd w:val="clear" w:color="000000" w:fill="D6DCE4"/>
            <w:noWrap/>
            <w:vAlign w:val="bottom"/>
            <w:hideMark/>
          </w:tcPr>
          <w:p w14:paraId="7568A7D4"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501 à 2000</w:t>
            </w:r>
          </w:p>
        </w:tc>
        <w:tc>
          <w:tcPr>
            <w:tcW w:w="2268" w:type="dxa"/>
            <w:tcBorders>
              <w:top w:val="nil"/>
              <w:left w:val="nil"/>
              <w:bottom w:val="single" w:sz="4" w:space="0" w:color="auto"/>
              <w:right w:val="single" w:sz="4" w:space="0" w:color="auto"/>
            </w:tcBorders>
            <w:shd w:val="clear" w:color="000000" w:fill="F8CBAD"/>
            <w:noWrap/>
            <w:vAlign w:val="bottom"/>
            <w:hideMark/>
          </w:tcPr>
          <w:p w14:paraId="4AFB655A" w14:textId="7AB11C59"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2</w:t>
            </w:r>
            <w:r w:rsidR="00866033">
              <w:rPr>
                <w:rFonts w:ascii="Calibri" w:hAnsi="Calibri" w:cs="Calibri"/>
                <w:color w:val="000000"/>
                <w:sz w:val="22"/>
                <w:szCs w:val="22"/>
              </w:rPr>
              <w:t> 300,10</w:t>
            </w:r>
            <w:r w:rsidRPr="00BD668A">
              <w:rPr>
                <w:rFonts w:ascii="Calibri" w:hAnsi="Calibri" w:cs="Calibri"/>
                <w:color w:val="000000"/>
                <w:sz w:val="22"/>
                <w:szCs w:val="22"/>
              </w:rPr>
              <w:t xml:space="preserve"> €</w:t>
            </w:r>
          </w:p>
        </w:tc>
        <w:tc>
          <w:tcPr>
            <w:tcW w:w="2268" w:type="dxa"/>
            <w:tcBorders>
              <w:top w:val="nil"/>
              <w:left w:val="nil"/>
              <w:bottom w:val="single" w:sz="4" w:space="0" w:color="auto"/>
              <w:right w:val="single" w:sz="8" w:space="0" w:color="auto"/>
            </w:tcBorders>
            <w:shd w:val="clear" w:color="000000" w:fill="C6E0B4"/>
            <w:noWrap/>
            <w:vAlign w:val="bottom"/>
            <w:hideMark/>
          </w:tcPr>
          <w:p w14:paraId="296C18EB" w14:textId="1A3BAB7D" w:rsidR="00BD668A" w:rsidRPr="00BD668A" w:rsidRDefault="00866033" w:rsidP="00BD668A">
            <w:pPr>
              <w:rPr>
                <w:rFonts w:ascii="Calibri" w:hAnsi="Calibri" w:cs="Calibri"/>
                <w:color w:val="000000"/>
                <w:sz w:val="22"/>
                <w:szCs w:val="22"/>
              </w:rPr>
            </w:pPr>
            <w:r>
              <w:rPr>
                <w:rFonts w:ascii="Calibri" w:hAnsi="Calibri" w:cs="Calibri"/>
                <w:color w:val="000000"/>
                <w:sz w:val="22"/>
                <w:szCs w:val="22"/>
              </w:rPr>
              <w:t>2 029,50</w:t>
            </w:r>
            <w:r w:rsidR="00BD668A" w:rsidRPr="00BD668A">
              <w:rPr>
                <w:rFonts w:ascii="Calibri" w:hAnsi="Calibri" w:cs="Calibri"/>
                <w:color w:val="000000"/>
                <w:sz w:val="22"/>
                <w:szCs w:val="22"/>
              </w:rPr>
              <w:t xml:space="preserve"> €</w:t>
            </w:r>
          </w:p>
        </w:tc>
        <w:tc>
          <w:tcPr>
            <w:tcW w:w="2268" w:type="dxa"/>
            <w:tcBorders>
              <w:top w:val="nil"/>
              <w:left w:val="nil"/>
              <w:bottom w:val="nil"/>
              <w:right w:val="nil"/>
            </w:tcBorders>
            <w:shd w:val="clear" w:color="auto" w:fill="auto"/>
            <w:noWrap/>
            <w:vAlign w:val="bottom"/>
          </w:tcPr>
          <w:p w14:paraId="3304C670" w14:textId="50AF7392" w:rsidR="00BD668A" w:rsidRPr="00BD668A" w:rsidRDefault="00BD668A" w:rsidP="00BD668A">
            <w:pPr>
              <w:jc w:val="right"/>
              <w:rPr>
                <w:rFonts w:ascii="Calibri" w:hAnsi="Calibri" w:cs="Calibri"/>
                <w:i/>
                <w:iCs/>
                <w:color w:val="000000"/>
              </w:rPr>
            </w:pPr>
          </w:p>
        </w:tc>
      </w:tr>
      <w:tr w:rsidR="00BD668A" w:rsidRPr="00BD668A" w14:paraId="51DA888B" w14:textId="77777777" w:rsidTr="00866033">
        <w:trPr>
          <w:trHeight w:val="315"/>
        </w:trPr>
        <w:tc>
          <w:tcPr>
            <w:tcW w:w="2268" w:type="dxa"/>
            <w:tcBorders>
              <w:top w:val="nil"/>
              <w:left w:val="single" w:sz="8" w:space="0" w:color="auto"/>
              <w:bottom w:val="single" w:sz="8" w:space="0" w:color="auto"/>
              <w:right w:val="single" w:sz="4" w:space="0" w:color="auto"/>
            </w:tcBorders>
            <w:shd w:val="clear" w:color="000000" w:fill="D6DCE4"/>
            <w:noWrap/>
            <w:vAlign w:val="bottom"/>
            <w:hideMark/>
          </w:tcPr>
          <w:p w14:paraId="2A401852"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2001 et plus</w:t>
            </w:r>
          </w:p>
        </w:tc>
        <w:tc>
          <w:tcPr>
            <w:tcW w:w="2268" w:type="dxa"/>
            <w:tcBorders>
              <w:top w:val="nil"/>
              <w:left w:val="nil"/>
              <w:bottom w:val="single" w:sz="4" w:space="0" w:color="auto"/>
              <w:right w:val="single" w:sz="4" w:space="0" w:color="auto"/>
            </w:tcBorders>
            <w:shd w:val="clear" w:color="000000" w:fill="F8CBAD"/>
            <w:noWrap/>
            <w:vAlign w:val="bottom"/>
            <w:hideMark/>
          </w:tcPr>
          <w:p w14:paraId="77F1C226" w14:textId="3190EB27" w:rsidR="00BD668A" w:rsidRPr="00BD668A" w:rsidRDefault="00866033" w:rsidP="00BD668A">
            <w:pPr>
              <w:rPr>
                <w:rFonts w:ascii="Calibri" w:hAnsi="Calibri" w:cs="Calibri"/>
                <w:color w:val="000000"/>
                <w:sz w:val="22"/>
                <w:szCs w:val="22"/>
              </w:rPr>
            </w:pPr>
            <w:r>
              <w:rPr>
                <w:rFonts w:ascii="Calibri" w:hAnsi="Calibri" w:cs="Calibri"/>
                <w:color w:val="000000"/>
                <w:sz w:val="22"/>
                <w:szCs w:val="22"/>
              </w:rPr>
              <w:t>3062,44</w:t>
            </w:r>
            <w:r w:rsidR="00BD668A" w:rsidRPr="00BD668A">
              <w:rPr>
                <w:rFonts w:ascii="Calibri" w:hAnsi="Calibri" w:cs="Calibri"/>
                <w:color w:val="000000"/>
                <w:sz w:val="22"/>
                <w:szCs w:val="22"/>
              </w:rPr>
              <w:t xml:space="preserve"> €</w:t>
            </w:r>
          </w:p>
        </w:tc>
        <w:tc>
          <w:tcPr>
            <w:tcW w:w="2268" w:type="dxa"/>
            <w:tcBorders>
              <w:top w:val="nil"/>
              <w:left w:val="nil"/>
              <w:bottom w:val="single" w:sz="4" w:space="0" w:color="auto"/>
              <w:right w:val="single" w:sz="8" w:space="0" w:color="auto"/>
            </w:tcBorders>
            <w:shd w:val="clear" w:color="000000" w:fill="C6E0B4"/>
            <w:noWrap/>
            <w:vAlign w:val="bottom"/>
            <w:hideMark/>
          </w:tcPr>
          <w:p w14:paraId="10B22D22" w14:textId="01461D5C"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2</w:t>
            </w:r>
            <w:r w:rsidR="00866033">
              <w:rPr>
                <w:rFonts w:ascii="Calibri" w:hAnsi="Calibri" w:cs="Calibri"/>
                <w:color w:val="000000"/>
                <w:sz w:val="22"/>
                <w:szCs w:val="22"/>
              </w:rPr>
              <w:t> 702,16</w:t>
            </w:r>
            <w:r w:rsidRPr="00BD668A">
              <w:rPr>
                <w:rFonts w:ascii="Calibri" w:hAnsi="Calibri" w:cs="Calibri"/>
                <w:color w:val="000000"/>
                <w:sz w:val="22"/>
                <w:szCs w:val="22"/>
              </w:rPr>
              <w:t xml:space="preserve"> €</w:t>
            </w:r>
          </w:p>
        </w:tc>
        <w:tc>
          <w:tcPr>
            <w:tcW w:w="2268" w:type="dxa"/>
            <w:tcBorders>
              <w:top w:val="nil"/>
              <w:left w:val="nil"/>
              <w:bottom w:val="nil"/>
              <w:right w:val="nil"/>
            </w:tcBorders>
            <w:shd w:val="clear" w:color="auto" w:fill="auto"/>
            <w:noWrap/>
            <w:vAlign w:val="bottom"/>
          </w:tcPr>
          <w:p w14:paraId="1E7A389C" w14:textId="75F17F7A" w:rsidR="00BD668A" w:rsidRPr="00BD668A" w:rsidRDefault="00BD668A" w:rsidP="00BD668A">
            <w:pPr>
              <w:jc w:val="right"/>
              <w:rPr>
                <w:rFonts w:ascii="Calibri" w:hAnsi="Calibri" w:cs="Calibri"/>
                <w:i/>
                <w:iCs/>
                <w:color w:val="000000"/>
              </w:rPr>
            </w:pPr>
          </w:p>
        </w:tc>
      </w:tr>
      <w:tr w:rsidR="00BD668A" w:rsidRPr="00BD668A" w14:paraId="633709B9" w14:textId="77777777" w:rsidTr="00866033">
        <w:trPr>
          <w:trHeight w:val="300"/>
        </w:trPr>
        <w:tc>
          <w:tcPr>
            <w:tcW w:w="2268" w:type="dxa"/>
            <w:tcBorders>
              <w:top w:val="nil"/>
              <w:left w:val="nil"/>
              <w:bottom w:val="nil"/>
              <w:right w:val="nil"/>
            </w:tcBorders>
            <w:shd w:val="clear" w:color="auto" w:fill="auto"/>
            <w:noWrap/>
            <w:vAlign w:val="bottom"/>
            <w:hideMark/>
          </w:tcPr>
          <w:p w14:paraId="47B52E76" w14:textId="77777777" w:rsidR="00BD668A" w:rsidRPr="00BD668A" w:rsidRDefault="00BD668A" w:rsidP="00BD668A">
            <w:pPr>
              <w:jc w:val="right"/>
              <w:rPr>
                <w:rFonts w:ascii="Calibri" w:hAnsi="Calibri" w:cs="Calibri"/>
                <w:i/>
                <w:iCs/>
                <w:color w:val="000000"/>
              </w:rPr>
            </w:pPr>
          </w:p>
        </w:tc>
        <w:tc>
          <w:tcPr>
            <w:tcW w:w="2268" w:type="dxa"/>
            <w:tcBorders>
              <w:top w:val="nil"/>
              <w:left w:val="nil"/>
              <w:bottom w:val="nil"/>
              <w:right w:val="nil"/>
            </w:tcBorders>
            <w:shd w:val="clear" w:color="auto" w:fill="auto"/>
            <w:noWrap/>
            <w:vAlign w:val="bottom"/>
            <w:hideMark/>
          </w:tcPr>
          <w:p w14:paraId="0CC44946"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613BC530" w14:textId="77777777" w:rsidR="00BD668A" w:rsidRPr="00BD668A" w:rsidRDefault="00BD668A" w:rsidP="00BD668A"/>
        </w:tc>
        <w:tc>
          <w:tcPr>
            <w:tcW w:w="2268" w:type="dxa"/>
            <w:tcBorders>
              <w:top w:val="nil"/>
              <w:left w:val="nil"/>
              <w:bottom w:val="nil"/>
              <w:right w:val="nil"/>
            </w:tcBorders>
            <w:shd w:val="clear" w:color="auto" w:fill="auto"/>
            <w:noWrap/>
            <w:vAlign w:val="bottom"/>
          </w:tcPr>
          <w:p w14:paraId="4D08BC92" w14:textId="77777777" w:rsidR="00BD668A" w:rsidRPr="00BD668A" w:rsidRDefault="00BD668A" w:rsidP="00BD668A"/>
        </w:tc>
      </w:tr>
      <w:tr w:rsidR="00BD668A" w:rsidRPr="00BD668A" w14:paraId="2D767DD4" w14:textId="77777777" w:rsidTr="00BD668A">
        <w:trPr>
          <w:trHeight w:val="300"/>
        </w:trPr>
        <w:tc>
          <w:tcPr>
            <w:tcW w:w="2268" w:type="dxa"/>
            <w:tcBorders>
              <w:top w:val="nil"/>
              <w:left w:val="nil"/>
              <w:bottom w:val="nil"/>
              <w:right w:val="nil"/>
            </w:tcBorders>
            <w:shd w:val="clear" w:color="auto" w:fill="auto"/>
            <w:noWrap/>
            <w:vAlign w:val="bottom"/>
            <w:hideMark/>
          </w:tcPr>
          <w:p w14:paraId="517CF27F"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416FC861"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78670DB2"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24856B6A" w14:textId="77777777" w:rsidR="00BD668A" w:rsidRPr="00BD668A" w:rsidRDefault="00BD668A" w:rsidP="00BD668A"/>
        </w:tc>
      </w:tr>
      <w:tr w:rsidR="00BD668A" w:rsidRPr="00BD668A" w14:paraId="32BE79FA" w14:textId="77777777" w:rsidTr="00BD668A">
        <w:trPr>
          <w:trHeight w:val="300"/>
        </w:trPr>
        <w:tc>
          <w:tcPr>
            <w:tcW w:w="4536" w:type="dxa"/>
            <w:gridSpan w:val="2"/>
            <w:tcBorders>
              <w:top w:val="nil"/>
              <w:left w:val="nil"/>
              <w:bottom w:val="nil"/>
              <w:right w:val="nil"/>
            </w:tcBorders>
            <w:shd w:val="clear" w:color="auto" w:fill="auto"/>
            <w:noWrap/>
            <w:vAlign w:val="bottom"/>
            <w:hideMark/>
          </w:tcPr>
          <w:p w14:paraId="35C5E9F6" w14:textId="0AD42D05"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Tarifs HT* 202</w:t>
            </w:r>
            <w:r w:rsidR="00866033">
              <w:rPr>
                <w:rFonts w:ascii="Calibri" w:hAnsi="Calibri" w:cs="Calibri"/>
                <w:color w:val="000000"/>
                <w:sz w:val="22"/>
                <w:szCs w:val="22"/>
              </w:rPr>
              <w:t>4</w:t>
            </w:r>
            <w:r w:rsidRPr="00BD668A">
              <w:rPr>
                <w:rFonts w:ascii="Calibri" w:hAnsi="Calibri" w:cs="Calibri"/>
                <w:color w:val="000000"/>
                <w:sz w:val="22"/>
                <w:szCs w:val="22"/>
              </w:rPr>
              <w:t>-202</w:t>
            </w:r>
            <w:r w:rsidR="00866033">
              <w:rPr>
                <w:rFonts w:ascii="Calibri" w:hAnsi="Calibri" w:cs="Calibri"/>
                <w:color w:val="000000"/>
                <w:sz w:val="22"/>
                <w:szCs w:val="22"/>
              </w:rPr>
              <w:t>5</w:t>
            </w:r>
            <w:r w:rsidRPr="00BD668A">
              <w:rPr>
                <w:rFonts w:ascii="Calibri" w:hAnsi="Calibri" w:cs="Calibri"/>
                <w:color w:val="000000"/>
                <w:sz w:val="22"/>
                <w:szCs w:val="22"/>
              </w:rPr>
              <w:t xml:space="preserve"> </w:t>
            </w:r>
          </w:p>
        </w:tc>
        <w:tc>
          <w:tcPr>
            <w:tcW w:w="2268" w:type="dxa"/>
            <w:tcBorders>
              <w:top w:val="nil"/>
              <w:left w:val="nil"/>
              <w:bottom w:val="nil"/>
              <w:right w:val="nil"/>
            </w:tcBorders>
            <w:shd w:val="clear" w:color="auto" w:fill="auto"/>
            <w:noWrap/>
            <w:vAlign w:val="bottom"/>
            <w:hideMark/>
          </w:tcPr>
          <w:p w14:paraId="04AD41D6" w14:textId="77777777" w:rsidR="00BD668A" w:rsidRPr="00BD668A" w:rsidRDefault="00BD668A" w:rsidP="00BD668A">
            <w:pPr>
              <w:rPr>
                <w:rFonts w:ascii="Calibri" w:hAnsi="Calibri" w:cs="Calibri"/>
                <w:color w:val="000000"/>
                <w:sz w:val="22"/>
                <w:szCs w:val="22"/>
              </w:rPr>
            </w:pPr>
          </w:p>
        </w:tc>
        <w:tc>
          <w:tcPr>
            <w:tcW w:w="2268" w:type="dxa"/>
            <w:tcBorders>
              <w:top w:val="nil"/>
              <w:left w:val="nil"/>
              <w:bottom w:val="nil"/>
              <w:right w:val="nil"/>
            </w:tcBorders>
            <w:shd w:val="clear" w:color="auto" w:fill="auto"/>
            <w:noWrap/>
            <w:vAlign w:val="bottom"/>
            <w:hideMark/>
          </w:tcPr>
          <w:p w14:paraId="05C35C74" w14:textId="77777777" w:rsidR="00BD668A" w:rsidRPr="00BD668A" w:rsidRDefault="00BD668A" w:rsidP="00BD668A"/>
        </w:tc>
      </w:tr>
      <w:tr w:rsidR="00BD668A" w:rsidRPr="00BD668A" w14:paraId="2DEDC715" w14:textId="77777777" w:rsidTr="00BD668A">
        <w:trPr>
          <w:trHeight w:val="300"/>
        </w:trPr>
        <w:tc>
          <w:tcPr>
            <w:tcW w:w="9072" w:type="dxa"/>
            <w:gridSpan w:val="4"/>
            <w:tcBorders>
              <w:top w:val="nil"/>
              <w:left w:val="nil"/>
              <w:bottom w:val="nil"/>
              <w:right w:val="nil"/>
            </w:tcBorders>
            <w:shd w:val="clear" w:color="auto" w:fill="auto"/>
            <w:noWrap/>
            <w:vAlign w:val="bottom"/>
            <w:hideMark/>
          </w:tcPr>
          <w:p w14:paraId="505A2943" w14:textId="77777777" w:rsidR="00BD668A" w:rsidRPr="00BD668A" w:rsidRDefault="00BD668A" w:rsidP="00BD668A">
            <w:pPr>
              <w:rPr>
                <w:rFonts w:ascii="Calibri" w:hAnsi="Calibri" w:cs="Calibri"/>
                <w:b/>
                <w:bCs/>
                <w:color w:val="000000"/>
                <w:sz w:val="22"/>
                <w:szCs w:val="22"/>
              </w:rPr>
            </w:pPr>
            <w:r w:rsidRPr="00BD668A">
              <w:rPr>
                <w:rFonts w:ascii="Calibri" w:hAnsi="Calibri" w:cs="Calibri"/>
                <w:b/>
                <w:bCs/>
                <w:color w:val="000000"/>
                <w:sz w:val="22"/>
                <w:szCs w:val="22"/>
              </w:rPr>
              <w:t>Abonnement à la formule "Plus" (accès aux revues et aux ebooks)</w:t>
            </w:r>
          </w:p>
        </w:tc>
      </w:tr>
      <w:tr w:rsidR="00BD668A" w:rsidRPr="00BD668A" w14:paraId="0251AB37" w14:textId="77777777" w:rsidTr="00BD668A">
        <w:trPr>
          <w:trHeight w:val="315"/>
        </w:trPr>
        <w:tc>
          <w:tcPr>
            <w:tcW w:w="2268" w:type="dxa"/>
            <w:tcBorders>
              <w:top w:val="nil"/>
              <w:left w:val="nil"/>
              <w:bottom w:val="nil"/>
              <w:right w:val="nil"/>
            </w:tcBorders>
            <w:shd w:val="clear" w:color="auto" w:fill="auto"/>
            <w:noWrap/>
            <w:vAlign w:val="bottom"/>
            <w:hideMark/>
          </w:tcPr>
          <w:p w14:paraId="15FB3F02" w14:textId="77777777" w:rsidR="00BD668A" w:rsidRPr="00BD668A" w:rsidRDefault="00BD668A" w:rsidP="00BD668A">
            <w:pPr>
              <w:rPr>
                <w:rFonts w:ascii="Calibri" w:hAnsi="Calibri" w:cs="Calibri"/>
                <w:b/>
                <w:bCs/>
                <w:color w:val="000000"/>
                <w:sz w:val="22"/>
                <w:szCs w:val="22"/>
              </w:rPr>
            </w:pPr>
          </w:p>
        </w:tc>
        <w:tc>
          <w:tcPr>
            <w:tcW w:w="2268" w:type="dxa"/>
            <w:tcBorders>
              <w:top w:val="nil"/>
              <w:left w:val="nil"/>
              <w:bottom w:val="nil"/>
              <w:right w:val="nil"/>
            </w:tcBorders>
            <w:shd w:val="clear" w:color="auto" w:fill="auto"/>
            <w:noWrap/>
            <w:vAlign w:val="bottom"/>
            <w:hideMark/>
          </w:tcPr>
          <w:p w14:paraId="62ACE30D"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1D8F53D3"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1E8F80EC" w14:textId="77777777" w:rsidR="00BD668A" w:rsidRPr="00BD668A" w:rsidRDefault="00BD668A" w:rsidP="00BD668A"/>
        </w:tc>
      </w:tr>
      <w:tr w:rsidR="00BD668A" w:rsidRPr="00BD668A" w14:paraId="3344B8F7" w14:textId="77777777" w:rsidTr="00866033">
        <w:trPr>
          <w:trHeight w:val="1290"/>
        </w:trPr>
        <w:tc>
          <w:tcPr>
            <w:tcW w:w="2268" w:type="dxa"/>
            <w:tcBorders>
              <w:top w:val="single" w:sz="8" w:space="0" w:color="auto"/>
              <w:left w:val="single" w:sz="8" w:space="0" w:color="auto"/>
              <w:bottom w:val="single" w:sz="4" w:space="0" w:color="auto"/>
              <w:right w:val="single" w:sz="4" w:space="0" w:color="auto"/>
            </w:tcBorders>
            <w:shd w:val="clear" w:color="000000" w:fill="4472C4"/>
            <w:vAlign w:val="bottom"/>
            <w:hideMark/>
          </w:tcPr>
          <w:p w14:paraId="1222096B"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Nombre d'étudiants MD en Sciences juridiques</w:t>
            </w:r>
          </w:p>
        </w:tc>
        <w:tc>
          <w:tcPr>
            <w:tcW w:w="2268" w:type="dxa"/>
            <w:tcBorders>
              <w:top w:val="single" w:sz="8" w:space="0" w:color="auto"/>
              <w:left w:val="nil"/>
              <w:bottom w:val="single" w:sz="4" w:space="0" w:color="auto"/>
              <w:right w:val="single" w:sz="4" w:space="0" w:color="auto"/>
            </w:tcBorders>
            <w:shd w:val="clear" w:color="000000" w:fill="ED7D31"/>
            <w:vAlign w:val="bottom"/>
            <w:hideMark/>
          </w:tcPr>
          <w:p w14:paraId="3ECFF656" w14:textId="673E7C90"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Formule Plus</w:t>
            </w:r>
            <w:r w:rsidRPr="00BD668A">
              <w:rPr>
                <w:rFonts w:ascii="Calibri" w:hAnsi="Calibri" w:cs="Calibri"/>
                <w:color w:val="000000"/>
                <w:sz w:val="22"/>
                <w:szCs w:val="22"/>
              </w:rPr>
              <w:br/>
              <w:t xml:space="preserve">Un an </w:t>
            </w:r>
            <w:r w:rsidRPr="00BD668A">
              <w:rPr>
                <w:rFonts w:ascii="Calibri" w:hAnsi="Calibri" w:cs="Calibri"/>
                <w:color w:val="000000"/>
                <w:sz w:val="22"/>
                <w:szCs w:val="22"/>
              </w:rPr>
              <w:br/>
              <w:t>Prix 202</w:t>
            </w:r>
            <w:r w:rsidR="00866033">
              <w:rPr>
                <w:rFonts w:ascii="Calibri" w:hAnsi="Calibri" w:cs="Calibri"/>
                <w:color w:val="000000"/>
                <w:sz w:val="22"/>
                <w:szCs w:val="22"/>
              </w:rPr>
              <w:t>4</w:t>
            </w:r>
            <w:r w:rsidRPr="00BD668A">
              <w:rPr>
                <w:rFonts w:ascii="Calibri" w:hAnsi="Calibri" w:cs="Calibri"/>
                <w:color w:val="000000"/>
                <w:sz w:val="22"/>
                <w:szCs w:val="22"/>
              </w:rPr>
              <w:t xml:space="preserve"> et/ou 202</w:t>
            </w:r>
            <w:r w:rsidR="00866033">
              <w:rPr>
                <w:rFonts w:ascii="Calibri" w:hAnsi="Calibri" w:cs="Calibri"/>
                <w:color w:val="000000"/>
                <w:sz w:val="22"/>
                <w:szCs w:val="22"/>
              </w:rPr>
              <w:t>5</w:t>
            </w:r>
          </w:p>
        </w:tc>
        <w:tc>
          <w:tcPr>
            <w:tcW w:w="2268" w:type="dxa"/>
            <w:tcBorders>
              <w:top w:val="single" w:sz="8" w:space="0" w:color="auto"/>
              <w:left w:val="nil"/>
              <w:bottom w:val="single" w:sz="4" w:space="0" w:color="auto"/>
              <w:right w:val="single" w:sz="8" w:space="0" w:color="auto"/>
            </w:tcBorders>
            <w:shd w:val="clear" w:color="000000" w:fill="70AD47"/>
            <w:vAlign w:val="bottom"/>
            <w:hideMark/>
          </w:tcPr>
          <w:p w14:paraId="4B2A0F04" w14:textId="4409586C"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Formule Plus</w:t>
            </w:r>
            <w:r w:rsidRPr="00BD668A">
              <w:rPr>
                <w:rFonts w:ascii="Calibri" w:hAnsi="Calibri" w:cs="Calibri"/>
                <w:color w:val="000000"/>
                <w:sz w:val="22"/>
                <w:szCs w:val="22"/>
              </w:rPr>
              <w:br/>
              <w:t xml:space="preserve">Engagement sur 2 ans** </w:t>
            </w:r>
            <w:r w:rsidRPr="00BD668A">
              <w:rPr>
                <w:rFonts w:ascii="Calibri" w:hAnsi="Calibri" w:cs="Calibri"/>
                <w:color w:val="000000"/>
                <w:sz w:val="22"/>
                <w:szCs w:val="22"/>
              </w:rPr>
              <w:br/>
              <w:t>Prix annuel pour 202</w:t>
            </w:r>
            <w:r w:rsidR="00866033">
              <w:rPr>
                <w:rFonts w:ascii="Calibri" w:hAnsi="Calibri" w:cs="Calibri"/>
                <w:color w:val="000000"/>
                <w:sz w:val="22"/>
                <w:szCs w:val="22"/>
              </w:rPr>
              <w:t>4</w:t>
            </w:r>
            <w:r w:rsidRPr="00BD668A">
              <w:rPr>
                <w:rFonts w:ascii="Calibri" w:hAnsi="Calibri" w:cs="Calibri"/>
                <w:color w:val="000000"/>
                <w:sz w:val="22"/>
                <w:szCs w:val="22"/>
              </w:rPr>
              <w:t xml:space="preserve"> et 202</w:t>
            </w:r>
            <w:r w:rsidR="00866033">
              <w:rPr>
                <w:rFonts w:ascii="Calibri" w:hAnsi="Calibri" w:cs="Calibri"/>
                <w:color w:val="000000"/>
                <w:sz w:val="22"/>
                <w:szCs w:val="22"/>
              </w:rPr>
              <w:t>5</w:t>
            </w:r>
          </w:p>
        </w:tc>
        <w:tc>
          <w:tcPr>
            <w:tcW w:w="2268" w:type="dxa"/>
            <w:tcBorders>
              <w:top w:val="nil"/>
              <w:left w:val="nil"/>
              <w:bottom w:val="nil"/>
              <w:right w:val="nil"/>
            </w:tcBorders>
            <w:shd w:val="clear" w:color="auto" w:fill="auto"/>
            <w:vAlign w:val="bottom"/>
          </w:tcPr>
          <w:p w14:paraId="278EFB20" w14:textId="5B3708B7" w:rsidR="00BD668A" w:rsidRPr="00BD668A" w:rsidRDefault="00BD668A" w:rsidP="00BD668A">
            <w:pPr>
              <w:rPr>
                <w:rFonts w:ascii="Calibri" w:hAnsi="Calibri" w:cs="Calibri"/>
                <w:i/>
                <w:iCs/>
                <w:color w:val="000000"/>
              </w:rPr>
            </w:pPr>
          </w:p>
        </w:tc>
      </w:tr>
      <w:tr w:rsidR="00BD668A" w:rsidRPr="00BD668A" w14:paraId="11F0F44B" w14:textId="77777777" w:rsidTr="00866033">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14:paraId="6E78BA5D"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single" w:sz="4" w:space="0" w:color="auto"/>
              <w:right w:val="single" w:sz="4" w:space="0" w:color="auto"/>
            </w:tcBorders>
            <w:shd w:val="clear" w:color="auto" w:fill="auto"/>
            <w:noWrap/>
            <w:vAlign w:val="bottom"/>
            <w:hideMark/>
          </w:tcPr>
          <w:p w14:paraId="28926B70"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single" w:sz="4" w:space="0" w:color="auto"/>
              <w:right w:val="single" w:sz="8" w:space="0" w:color="auto"/>
            </w:tcBorders>
            <w:shd w:val="clear" w:color="auto" w:fill="auto"/>
            <w:noWrap/>
            <w:vAlign w:val="bottom"/>
            <w:hideMark/>
          </w:tcPr>
          <w:p w14:paraId="14305FA9"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w:t>
            </w:r>
          </w:p>
        </w:tc>
        <w:tc>
          <w:tcPr>
            <w:tcW w:w="2268" w:type="dxa"/>
            <w:tcBorders>
              <w:top w:val="nil"/>
              <w:left w:val="nil"/>
              <w:bottom w:val="nil"/>
              <w:right w:val="nil"/>
            </w:tcBorders>
            <w:shd w:val="clear" w:color="auto" w:fill="auto"/>
            <w:noWrap/>
            <w:vAlign w:val="bottom"/>
          </w:tcPr>
          <w:p w14:paraId="1ED2A42C" w14:textId="77777777" w:rsidR="00BD668A" w:rsidRPr="00BD668A" w:rsidRDefault="00BD668A" w:rsidP="00BD668A">
            <w:pPr>
              <w:rPr>
                <w:rFonts w:ascii="Calibri" w:hAnsi="Calibri" w:cs="Calibri"/>
                <w:color w:val="000000"/>
                <w:sz w:val="22"/>
                <w:szCs w:val="22"/>
              </w:rPr>
            </w:pPr>
          </w:p>
        </w:tc>
      </w:tr>
      <w:tr w:rsidR="00BD668A" w:rsidRPr="00BD668A" w14:paraId="54B6253D" w14:textId="77777777" w:rsidTr="00866033">
        <w:trPr>
          <w:trHeight w:val="300"/>
        </w:trPr>
        <w:tc>
          <w:tcPr>
            <w:tcW w:w="2268" w:type="dxa"/>
            <w:tcBorders>
              <w:top w:val="nil"/>
              <w:left w:val="single" w:sz="8" w:space="0" w:color="auto"/>
              <w:bottom w:val="single" w:sz="4" w:space="0" w:color="auto"/>
              <w:right w:val="single" w:sz="4" w:space="0" w:color="auto"/>
            </w:tcBorders>
            <w:shd w:val="clear" w:color="000000" w:fill="4472C4"/>
            <w:noWrap/>
            <w:vAlign w:val="bottom"/>
            <w:hideMark/>
          </w:tcPr>
          <w:p w14:paraId="63D89F96"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1 à 500</w:t>
            </w:r>
          </w:p>
        </w:tc>
        <w:tc>
          <w:tcPr>
            <w:tcW w:w="2268" w:type="dxa"/>
            <w:tcBorders>
              <w:top w:val="nil"/>
              <w:left w:val="nil"/>
              <w:bottom w:val="single" w:sz="4" w:space="0" w:color="auto"/>
              <w:right w:val="single" w:sz="4" w:space="0" w:color="auto"/>
            </w:tcBorders>
            <w:shd w:val="clear" w:color="000000" w:fill="ED7D31"/>
            <w:noWrap/>
            <w:vAlign w:val="bottom"/>
            <w:hideMark/>
          </w:tcPr>
          <w:p w14:paraId="086F1C21" w14:textId="5818331E"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5</w:t>
            </w:r>
            <w:r w:rsidR="00866033">
              <w:rPr>
                <w:rFonts w:ascii="Calibri" w:hAnsi="Calibri" w:cs="Calibri"/>
                <w:color w:val="000000"/>
                <w:sz w:val="22"/>
                <w:szCs w:val="22"/>
              </w:rPr>
              <w:t> 732,83</w:t>
            </w:r>
            <w:r w:rsidRPr="00BD668A">
              <w:rPr>
                <w:rFonts w:ascii="Calibri" w:hAnsi="Calibri" w:cs="Calibri"/>
                <w:color w:val="000000"/>
                <w:sz w:val="22"/>
                <w:szCs w:val="22"/>
              </w:rPr>
              <w:t xml:space="preserve"> €</w:t>
            </w:r>
          </w:p>
        </w:tc>
        <w:tc>
          <w:tcPr>
            <w:tcW w:w="2268" w:type="dxa"/>
            <w:tcBorders>
              <w:top w:val="nil"/>
              <w:left w:val="nil"/>
              <w:bottom w:val="single" w:sz="4" w:space="0" w:color="auto"/>
              <w:right w:val="single" w:sz="8" w:space="0" w:color="auto"/>
            </w:tcBorders>
            <w:shd w:val="clear" w:color="000000" w:fill="70AD47"/>
            <w:noWrap/>
            <w:vAlign w:val="bottom"/>
            <w:hideMark/>
          </w:tcPr>
          <w:p w14:paraId="2996E147" w14:textId="61BD20DE" w:rsidR="00BD668A" w:rsidRPr="00BD668A" w:rsidRDefault="00866033" w:rsidP="00BD668A">
            <w:pPr>
              <w:rPr>
                <w:rFonts w:ascii="Calibri" w:hAnsi="Calibri" w:cs="Calibri"/>
                <w:color w:val="000000"/>
                <w:sz w:val="22"/>
                <w:szCs w:val="22"/>
              </w:rPr>
            </w:pPr>
            <w:r>
              <w:rPr>
                <w:rFonts w:ascii="Calibri" w:hAnsi="Calibri" w:cs="Calibri"/>
                <w:color w:val="000000"/>
                <w:sz w:val="22"/>
                <w:szCs w:val="22"/>
              </w:rPr>
              <w:t>5 058,38</w:t>
            </w:r>
            <w:r w:rsidR="00BD668A" w:rsidRPr="00BD668A">
              <w:rPr>
                <w:rFonts w:ascii="Calibri" w:hAnsi="Calibri" w:cs="Calibri"/>
                <w:color w:val="000000"/>
                <w:sz w:val="22"/>
                <w:szCs w:val="22"/>
              </w:rPr>
              <w:t xml:space="preserve"> €</w:t>
            </w:r>
          </w:p>
        </w:tc>
        <w:tc>
          <w:tcPr>
            <w:tcW w:w="2268" w:type="dxa"/>
            <w:tcBorders>
              <w:top w:val="nil"/>
              <w:left w:val="nil"/>
              <w:bottom w:val="nil"/>
              <w:right w:val="nil"/>
            </w:tcBorders>
            <w:shd w:val="clear" w:color="auto" w:fill="auto"/>
            <w:noWrap/>
            <w:vAlign w:val="bottom"/>
          </w:tcPr>
          <w:p w14:paraId="1C4D189E" w14:textId="69562DB8" w:rsidR="00BD668A" w:rsidRPr="00BD668A" w:rsidRDefault="00BD668A" w:rsidP="00BD668A">
            <w:pPr>
              <w:jc w:val="right"/>
              <w:rPr>
                <w:rFonts w:ascii="Calibri" w:hAnsi="Calibri" w:cs="Calibri"/>
                <w:i/>
                <w:iCs/>
                <w:color w:val="000000"/>
              </w:rPr>
            </w:pPr>
          </w:p>
        </w:tc>
      </w:tr>
      <w:tr w:rsidR="00BD668A" w:rsidRPr="00BD668A" w14:paraId="765E9BF0" w14:textId="77777777" w:rsidTr="00866033">
        <w:trPr>
          <w:trHeight w:val="300"/>
        </w:trPr>
        <w:tc>
          <w:tcPr>
            <w:tcW w:w="2268" w:type="dxa"/>
            <w:tcBorders>
              <w:top w:val="nil"/>
              <w:left w:val="single" w:sz="8" w:space="0" w:color="auto"/>
              <w:bottom w:val="single" w:sz="4" w:space="0" w:color="auto"/>
              <w:right w:val="single" w:sz="4" w:space="0" w:color="auto"/>
            </w:tcBorders>
            <w:shd w:val="clear" w:color="000000" w:fill="4472C4"/>
            <w:noWrap/>
            <w:vAlign w:val="bottom"/>
            <w:hideMark/>
          </w:tcPr>
          <w:p w14:paraId="6ABF65B5"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501 à 2000</w:t>
            </w:r>
          </w:p>
        </w:tc>
        <w:tc>
          <w:tcPr>
            <w:tcW w:w="2268" w:type="dxa"/>
            <w:tcBorders>
              <w:top w:val="nil"/>
              <w:left w:val="nil"/>
              <w:bottom w:val="single" w:sz="4" w:space="0" w:color="auto"/>
              <w:right w:val="single" w:sz="4" w:space="0" w:color="auto"/>
            </w:tcBorders>
            <w:shd w:val="clear" w:color="000000" w:fill="ED7D31"/>
            <w:noWrap/>
            <w:vAlign w:val="bottom"/>
            <w:hideMark/>
          </w:tcPr>
          <w:p w14:paraId="4BADB4B5" w14:textId="68B27F74"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6</w:t>
            </w:r>
            <w:r w:rsidR="00866033">
              <w:rPr>
                <w:rFonts w:ascii="Calibri" w:hAnsi="Calibri" w:cs="Calibri"/>
                <w:color w:val="000000"/>
                <w:sz w:val="22"/>
                <w:szCs w:val="22"/>
              </w:rPr>
              <w:t> 874,16</w:t>
            </w:r>
            <w:r w:rsidRPr="00BD668A">
              <w:rPr>
                <w:rFonts w:ascii="Calibri" w:hAnsi="Calibri" w:cs="Calibri"/>
                <w:color w:val="000000"/>
                <w:sz w:val="22"/>
                <w:szCs w:val="22"/>
              </w:rPr>
              <w:t xml:space="preserve"> €</w:t>
            </w:r>
          </w:p>
        </w:tc>
        <w:tc>
          <w:tcPr>
            <w:tcW w:w="2268" w:type="dxa"/>
            <w:tcBorders>
              <w:top w:val="nil"/>
              <w:left w:val="nil"/>
              <w:bottom w:val="single" w:sz="4" w:space="0" w:color="auto"/>
              <w:right w:val="single" w:sz="8" w:space="0" w:color="auto"/>
            </w:tcBorders>
            <w:shd w:val="clear" w:color="000000" w:fill="70AD47"/>
            <w:noWrap/>
            <w:vAlign w:val="bottom"/>
            <w:hideMark/>
          </w:tcPr>
          <w:p w14:paraId="61FA696E" w14:textId="58FFCFFE" w:rsidR="00BD668A" w:rsidRPr="00BD668A" w:rsidRDefault="00866033" w:rsidP="00BD668A">
            <w:pPr>
              <w:rPr>
                <w:rFonts w:ascii="Calibri" w:hAnsi="Calibri" w:cs="Calibri"/>
                <w:color w:val="000000"/>
                <w:sz w:val="22"/>
                <w:szCs w:val="22"/>
              </w:rPr>
            </w:pPr>
            <w:r>
              <w:rPr>
                <w:rFonts w:ascii="Calibri" w:hAnsi="Calibri" w:cs="Calibri"/>
                <w:color w:val="000000"/>
                <w:sz w:val="22"/>
                <w:szCs w:val="22"/>
              </w:rPr>
              <w:t>6 065,44</w:t>
            </w:r>
            <w:r w:rsidR="00BD668A" w:rsidRPr="00BD668A">
              <w:rPr>
                <w:rFonts w:ascii="Calibri" w:hAnsi="Calibri" w:cs="Calibri"/>
                <w:color w:val="000000"/>
                <w:sz w:val="22"/>
                <w:szCs w:val="22"/>
              </w:rPr>
              <w:t xml:space="preserve"> €</w:t>
            </w:r>
          </w:p>
        </w:tc>
        <w:tc>
          <w:tcPr>
            <w:tcW w:w="2268" w:type="dxa"/>
            <w:tcBorders>
              <w:top w:val="nil"/>
              <w:left w:val="nil"/>
              <w:bottom w:val="nil"/>
              <w:right w:val="nil"/>
            </w:tcBorders>
            <w:shd w:val="clear" w:color="auto" w:fill="auto"/>
            <w:noWrap/>
            <w:vAlign w:val="bottom"/>
          </w:tcPr>
          <w:p w14:paraId="5EAB8D75" w14:textId="2A24D27F" w:rsidR="00BD668A" w:rsidRPr="00BD668A" w:rsidRDefault="00BD668A" w:rsidP="00BD668A">
            <w:pPr>
              <w:jc w:val="right"/>
              <w:rPr>
                <w:rFonts w:ascii="Calibri" w:hAnsi="Calibri" w:cs="Calibri"/>
                <w:i/>
                <w:iCs/>
                <w:color w:val="000000"/>
              </w:rPr>
            </w:pPr>
          </w:p>
        </w:tc>
      </w:tr>
      <w:tr w:rsidR="00BD668A" w:rsidRPr="00BD668A" w14:paraId="24A11D22" w14:textId="77777777" w:rsidTr="00866033">
        <w:trPr>
          <w:trHeight w:val="315"/>
        </w:trPr>
        <w:tc>
          <w:tcPr>
            <w:tcW w:w="2268" w:type="dxa"/>
            <w:tcBorders>
              <w:top w:val="nil"/>
              <w:left w:val="single" w:sz="8" w:space="0" w:color="auto"/>
              <w:bottom w:val="single" w:sz="8" w:space="0" w:color="auto"/>
              <w:right w:val="single" w:sz="4" w:space="0" w:color="auto"/>
            </w:tcBorders>
            <w:shd w:val="clear" w:color="000000" w:fill="4472C4"/>
            <w:noWrap/>
            <w:vAlign w:val="bottom"/>
            <w:hideMark/>
          </w:tcPr>
          <w:p w14:paraId="26914F9C"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2001 et plus</w:t>
            </w:r>
          </w:p>
        </w:tc>
        <w:tc>
          <w:tcPr>
            <w:tcW w:w="2268" w:type="dxa"/>
            <w:tcBorders>
              <w:top w:val="nil"/>
              <w:left w:val="nil"/>
              <w:bottom w:val="single" w:sz="8" w:space="0" w:color="auto"/>
              <w:right w:val="single" w:sz="4" w:space="0" w:color="auto"/>
            </w:tcBorders>
            <w:shd w:val="clear" w:color="000000" w:fill="ED7D31"/>
            <w:noWrap/>
            <w:vAlign w:val="bottom"/>
            <w:hideMark/>
          </w:tcPr>
          <w:p w14:paraId="2FA7CC3E" w14:textId="08CC1B36" w:rsidR="00BD668A" w:rsidRPr="00BD668A" w:rsidRDefault="00866033" w:rsidP="00BD668A">
            <w:pPr>
              <w:rPr>
                <w:rFonts w:ascii="Calibri" w:hAnsi="Calibri" w:cs="Calibri"/>
                <w:color w:val="000000"/>
                <w:sz w:val="22"/>
                <w:szCs w:val="22"/>
              </w:rPr>
            </w:pPr>
            <w:r>
              <w:rPr>
                <w:rFonts w:ascii="Calibri" w:hAnsi="Calibri" w:cs="Calibri"/>
                <w:color w:val="000000"/>
                <w:sz w:val="22"/>
                <w:szCs w:val="22"/>
              </w:rPr>
              <w:t>9 095,85</w:t>
            </w:r>
            <w:r w:rsidR="00BD668A" w:rsidRPr="00BD668A">
              <w:rPr>
                <w:rFonts w:ascii="Calibri" w:hAnsi="Calibri" w:cs="Calibri"/>
                <w:color w:val="000000"/>
                <w:sz w:val="22"/>
                <w:szCs w:val="22"/>
              </w:rPr>
              <w:t xml:space="preserve"> €</w:t>
            </w:r>
          </w:p>
        </w:tc>
        <w:tc>
          <w:tcPr>
            <w:tcW w:w="2268" w:type="dxa"/>
            <w:tcBorders>
              <w:top w:val="nil"/>
              <w:left w:val="nil"/>
              <w:bottom w:val="single" w:sz="8" w:space="0" w:color="auto"/>
              <w:right w:val="single" w:sz="8" w:space="0" w:color="auto"/>
            </w:tcBorders>
            <w:shd w:val="clear" w:color="000000" w:fill="70AD47"/>
            <w:noWrap/>
            <w:vAlign w:val="bottom"/>
            <w:hideMark/>
          </w:tcPr>
          <w:p w14:paraId="535345AE" w14:textId="1ED5FDAA" w:rsidR="00BD668A" w:rsidRPr="00BD668A" w:rsidRDefault="00866033" w:rsidP="00BD668A">
            <w:pPr>
              <w:rPr>
                <w:rFonts w:ascii="Calibri" w:hAnsi="Calibri" w:cs="Calibri"/>
                <w:color w:val="000000"/>
                <w:sz w:val="22"/>
                <w:szCs w:val="22"/>
              </w:rPr>
            </w:pPr>
            <w:r>
              <w:rPr>
                <w:rFonts w:ascii="Calibri" w:hAnsi="Calibri" w:cs="Calibri"/>
                <w:color w:val="000000"/>
                <w:sz w:val="22"/>
                <w:szCs w:val="22"/>
              </w:rPr>
              <w:t>8 025,75</w:t>
            </w:r>
            <w:r w:rsidR="00BD668A" w:rsidRPr="00BD668A">
              <w:rPr>
                <w:rFonts w:ascii="Calibri" w:hAnsi="Calibri" w:cs="Calibri"/>
                <w:color w:val="000000"/>
                <w:sz w:val="22"/>
                <w:szCs w:val="22"/>
              </w:rPr>
              <w:t xml:space="preserve"> €</w:t>
            </w:r>
          </w:p>
        </w:tc>
        <w:tc>
          <w:tcPr>
            <w:tcW w:w="2268" w:type="dxa"/>
            <w:tcBorders>
              <w:top w:val="nil"/>
              <w:left w:val="nil"/>
              <w:bottom w:val="nil"/>
              <w:right w:val="nil"/>
            </w:tcBorders>
            <w:shd w:val="clear" w:color="auto" w:fill="auto"/>
            <w:noWrap/>
            <w:vAlign w:val="bottom"/>
          </w:tcPr>
          <w:p w14:paraId="3CA51846" w14:textId="61AC2621" w:rsidR="00BD668A" w:rsidRPr="00BD668A" w:rsidRDefault="00BD668A" w:rsidP="00BD668A">
            <w:pPr>
              <w:jc w:val="right"/>
              <w:rPr>
                <w:rFonts w:ascii="Calibri" w:hAnsi="Calibri" w:cs="Calibri"/>
                <w:i/>
                <w:iCs/>
                <w:color w:val="000000"/>
              </w:rPr>
            </w:pPr>
          </w:p>
        </w:tc>
      </w:tr>
      <w:tr w:rsidR="00BD668A" w:rsidRPr="00BD668A" w14:paraId="457CFD72" w14:textId="77777777" w:rsidTr="00866033">
        <w:trPr>
          <w:trHeight w:val="300"/>
        </w:trPr>
        <w:tc>
          <w:tcPr>
            <w:tcW w:w="2268" w:type="dxa"/>
            <w:tcBorders>
              <w:top w:val="nil"/>
              <w:left w:val="nil"/>
              <w:bottom w:val="nil"/>
              <w:right w:val="nil"/>
            </w:tcBorders>
            <w:shd w:val="clear" w:color="auto" w:fill="auto"/>
            <w:noWrap/>
            <w:vAlign w:val="bottom"/>
            <w:hideMark/>
          </w:tcPr>
          <w:p w14:paraId="53E763D0" w14:textId="77777777" w:rsidR="00BD668A" w:rsidRPr="00BD668A" w:rsidRDefault="00BD668A" w:rsidP="00BD668A">
            <w:pPr>
              <w:jc w:val="right"/>
              <w:rPr>
                <w:rFonts w:ascii="Calibri" w:hAnsi="Calibri" w:cs="Calibri"/>
                <w:i/>
                <w:iCs/>
                <w:color w:val="000000"/>
              </w:rPr>
            </w:pPr>
          </w:p>
        </w:tc>
        <w:tc>
          <w:tcPr>
            <w:tcW w:w="2268" w:type="dxa"/>
            <w:tcBorders>
              <w:top w:val="nil"/>
              <w:left w:val="nil"/>
              <w:bottom w:val="nil"/>
              <w:right w:val="nil"/>
            </w:tcBorders>
            <w:shd w:val="clear" w:color="auto" w:fill="auto"/>
            <w:noWrap/>
            <w:vAlign w:val="bottom"/>
            <w:hideMark/>
          </w:tcPr>
          <w:p w14:paraId="6EED00D2"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15456576" w14:textId="77777777" w:rsidR="00BD668A" w:rsidRPr="00BD668A" w:rsidRDefault="00BD668A" w:rsidP="00BD668A"/>
        </w:tc>
        <w:tc>
          <w:tcPr>
            <w:tcW w:w="2268" w:type="dxa"/>
            <w:tcBorders>
              <w:top w:val="nil"/>
              <w:left w:val="nil"/>
              <w:bottom w:val="nil"/>
              <w:right w:val="nil"/>
            </w:tcBorders>
            <w:shd w:val="clear" w:color="auto" w:fill="auto"/>
            <w:noWrap/>
            <w:vAlign w:val="bottom"/>
          </w:tcPr>
          <w:p w14:paraId="22522C5F" w14:textId="77777777" w:rsidR="00BD668A" w:rsidRPr="00BD668A" w:rsidRDefault="00BD668A" w:rsidP="00BD668A"/>
        </w:tc>
      </w:tr>
      <w:tr w:rsidR="00BD668A" w:rsidRPr="00BD668A" w14:paraId="775BFF4C" w14:textId="77777777" w:rsidTr="00BD668A">
        <w:trPr>
          <w:trHeight w:val="300"/>
        </w:trPr>
        <w:tc>
          <w:tcPr>
            <w:tcW w:w="2268" w:type="dxa"/>
            <w:tcBorders>
              <w:top w:val="nil"/>
              <w:left w:val="nil"/>
              <w:bottom w:val="nil"/>
              <w:right w:val="nil"/>
            </w:tcBorders>
            <w:shd w:val="clear" w:color="auto" w:fill="auto"/>
            <w:noWrap/>
            <w:vAlign w:val="bottom"/>
            <w:hideMark/>
          </w:tcPr>
          <w:p w14:paraId="6713DC72"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7FFD000A"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27F77ECA" w14:textId="77777777" w:rsidR="00BD668A" w:rsidRPr="00BD668A" w:rsidRDefault="00BD668A" w:rsidP="00BD668A"/>
        </w:tc>
        <w:tc>
          <w:tcPr>
            <w:tcW w:w="2268" w:type="dxa"/>
            <w:tcBorders>
              <w:top w:val="nil"/>
              <w:left w:val="nil"/>
              <w:bottom w:val="nil"/>
              <w:right w:val="nil"/>
            </w:tcBorders>
            <w:shd w:val="clear" w:color="auto" w:fill="auto"/>
            <w:noWrap/>
            <w:vAlign w:val="bottom"/>
            <w:hideMark/>
          </w:tcPr>
          <w:p w14:paraId="5CC7C84C" w14:textId="77777777" w:rsidR="00BD668A" w:rsidRPr="00BD668A" w:rsidRDefault="00BD668A" w:rsidP="00BD668A"/>
        </w:tc>
      </w:tr>
      <w:tr w:rsidR="00BD668A" w:rsidRPr="00BD668A" w14:paraId="72134F85" w14:textId="77777777" w:rsidTr="00BD668A">
        <w:trPr>
          <w:trHeight w:val="300"/>
        </w:trPr>
        <w:tc>
          <w:tcPr>
            <w:tcW w:w="9072" w:type="dxa"/>
            <w:gridSpan w:val="4"/>
            <w:tcBorders>
              <w:top w:val="nil"/>
              <w:left w:val="nil"/>
              <w:bottom w:val="nil"/>
              <w:right w:val="nil"/>
            </w:tcBorders>
            <w:shd w:val="clear" w:color="auto" w:fill="auto"/>
            <w:noWrap/>
            <w:vAlign w:val="bottom"/>
            <w:hideMark/>
          </w:tcPr>
          <w:p w14:paraId="1F5DF1D6" w14:textId="77777777"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xml:space="preserve">* les établissements sont facturés en HT et doivent </w:t>
            </w:r>
            <w:proofErr w:type="spellStart"/>
            <w:r w:rsidRPr="00BD668A">
              <w:rPr>
                <w:rFonts w:ascii="Calibri" w:hAnsi="Calibri" w:cs="Calibri"/>
                <w:color w:val="000000"/>
                <w:sz w:val="22"/>
                <w:szCs w:val="22"/>
              </w:rPr>
              <w:t>autoliquider</w:t>
            </w:r>
            <w:proofErr w:type="spellEnd"/>
            <w:r w:rsidRPr="00BD668A">
              <w:rPr>
                <w:rFonts w:ascii="Calibri" w:hAnsi="Calibri" w:cs="Calibri"/>
                <w:color w:val="000000"/>
                <w:sz w:val="22"/>
                <w:szCs w:val="22"/>
              </w:rPr>
              <w:t xml:space="preserve"> la TVA (20%)</w:t>
            </w:r>
          </w:p>
        </w:tc>
      </w:tr>
      <w:tr w:rsidR="00BD668A" w:rsidRPr="00BD668A" w14:paraId="18948EEE" w14:textId="77777777" w:rsidTr="00BD668A">
        <w:trPr>
          <w:trHeight w:val="300"/>
        </w:trPr>
        <w:tc>
          <w:tcPr>
            <w:tcW w:w="9072" w:type="dxa"/>
            <w:gridSpan w:val="4"/>
            <w:tcBorders>
              <w:top w:val="nil"/>
              <w:left w:val="nil"/>
              <w:bottom w:val="nil"/>
              <w:right w:val="nil"/>
            </w:tcBorders>
            <w:shd w:val="clear" w:color="auto" w:fill="auto"/>
            <w:noWrap/>
            <w:vAlign w:val="bottom"/>
            <w:hideMark/>
          </w:tcPr>
          <w:p w14:paraId="69DE84AB" w14:textId="05424AAA" w:rsidR="00BD668A" w:rsidRPr="00BD668A" w:rsidRDefault="00BD668A" w:rsidP="00BD668A">
            <w:pPr>
              <w:rPr>
                <w:rFonts w:ascii="Calibri" w:hAnsi="Calibri" w:cs="Calibri"/>
                <w:color w:val="000000"/>
                <w:sz w:val="22"/>
                <w:szCs w:val="22"/>
              </w:rPr>
            </w:pPr>
            <w:r w:rsidRPr="00BD668A">
              <w:rPr>
                <w:rFonts w:ascii="Calibri" w:hAnsi="Calibri" w:cs="Calibri"/>
                <w:color w:val="000000"/>
                <w:sz w:val="22"/>
                <w:szCs w:val="22"/>
              </w:rPr>
              <w:t>** l'abonnement 2 ans ne peut être souscrit qu'en 202</w:t>
            </w:r>
            <w:r w:rsidR="00866033">
              <w:rPr>
                <w:rFonts w:ascii="Calibri" w:hAnsi="Calibri" w:cs="Calibri"/>
                <w:color w:val="000000"/>
                <w:sz w:val="22"/>
                <w:szCs w:val="22"/>
              </w:rPr>
              <w:t>4</w:t>
            </w:r>
            <w:r w:rsidRPr="00BD668A">
              <w:rPr>
                <w:rFonts w:ascii="Calibri" w:hAnsi="Calibri" w:cs="Calibri"/>
                <w:color w:val="000000"/>
                <w:sz w:val="22"/>
                <w:szCs w:val="22"/>
              </w:rPr>
              <w:t>, il n'est pas possible de souscrire pour 202</w:t>
            </w:r>
            <w:r w:rsidR="00866033">
              <w:rPr>
                <w:rFonts w:ascii="Calibri" w:hAnsi="Calibri" w:cs="Calibri"/>
                <w:color w:val="000000"/>
                <w:sz w:val="22"/>
                <w:szCs w:val="22"/>
              </w:rPr>
              <w:t>5</w:t>
            </w:r>
            <w:r w:rsidRPr="00BD668A">
              <w:rPr>
                <w:rFonts w:ascii="Calibri" w:hAnsi="Calibri" w:cs="Calibri"/>
                <w:color w:val="000000"/>
                <w:sz w:val="22"/>
                <w:szCs w:val="22"/>
              </w:rPr>
              <w:t>-202</w:t>
            </w:r>
            <w:r w:rsidR="00866033">
              <w:rPr>
                <w:rFonts w:ascii="Calibri" w:hAnsi="Calibri" w:cs="Calibri"/>
                <w:color w:val="000000"/>
                <w:sz w:val="22"/>
                <w:szCs w:val="22"/>
              </w:rPr>
              <w:t>6</w:t>
            </w:r>
            <w:r w:rsidRPr="00BD668A">
              <w:rPr>
                <w:rFonts w:ascii="Calibri" w:hAnsi="Calibri" w:cs="Calibri"/>
                <w:color w:val="000000"/>
                <w:sz w:val="22"/>
                <w:szCs w:val="22"/>
              </w:rPr>
              <w:t xml:space="preserve"> car 202</w:t>
            </w:r>
            <w:r w:rsidR="00866033">
              <w:rPr>
                <w:rFonts w:ascii="Calibri" w:hAnsi="Calibri" w:cs="Calibri"/>
                <w:color w:val="000000"/>
                <w:sz w:val="22"/>
                <w:szCs w:val="22"/>
              </w:rPr>
              <w:t>6</w:t>
            </w:r>
            <w:r w:rsidRPr="00BD668A">
              <w:rPr>
                <w:rFonts w:ascii="Calibri" w:hAnsi="Calibri" w:cs="Calibri"/>
                <w:color w:val="000000"/>
                <w:sz w:val="22"/>
                <w:szCs w:val="22"/>
              </w:rPr>
              <w:t xml:space="preserve"> fera l'objet d'un nouvel accord avec </w:t>
            </w:r>
            <w:r w:rsidR="00866033">
              <w:rPr>
                <w:rFonts w:ascii="Calibri" w:hAnsi="Calibri" w:cs="Calibri"/>
                <w:color w:val="000000"/>
                <w:sz w:val="22"/>
                <w:szCs w:val="22"/>
              </w:rPr>
              <w:t>l’éditeur</w:t>
            </w:r>
          </w:p>
        </w:tc>
      </w:tr>
    </w:tbl>
    <w:p w14:paraId="65B18EB5" w14:textId="163C0F23" w:rsidR="00A24BAC" w:rsidRDefault="00A24BAC">
      <w:pPr>
        <w:jc w:val="both"/>
        <w:rPr>
          <w:rFonts w:ascii="Times" w:hAnsi="Times"/>
          <w:snapToGrid w:val="0"/>
          <w:sz w:val="22"/>
          <w:szCs w:val="22"/>
        </w:rPr>
      </w:pPr>
    </w:p>
    <w:p w14:paraId="377C18E1" w14:textId="77777777" w:rsidR="008C1325" w:rsidRPr="002D7EC2" w:rsidRDefault="008C1325">
      <w:pPr>
        <w:jc w:val="both"/>
        <w:rPr>
          <w:rFonts w:ascii="Times" w:hAnsi="Times"/>
          <w:snapToGrid w:val="0"/>
          <w:sz w:val="22"/>
          <w:szCs w:val="22"/>
        </w:rPr>
      </w:pPr>
    </w:p>
    <w:p w14:paraId="67BCB1D5" w14:textId="283773FF"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w:t>
      </w:r>
      <w:r w:rsidR="00FE4ECA">
        <w:rPr>
          <w:rFonts w:ascii="Times" w:hAnsi="Times"/>
          <w:sz w:val="22"/>
          <w:szCs w:val="22"/>
        </w:rPr>
        <w:t>2</w:t>
      </w:r>
      <w:r w:rsidRPr="002D7EC2">
        <w:rPr>
          <w:rFonts w:ascii="Times" w:hAnsi="Times"/>
          <w:sz w:val="22"/>
          <w:szCs w:val="22"/>
        </w:rPr>
        <w:t xml:space="preserve">.8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0A31F680" w14:textId="77777777" w:rsidR="00A24BAC" w:rsidRPr="002D7EC2" w:rsidRDefault="00A24BAC">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049DD8F8" w14:textId="03C23A68" w:rsidR="00A24BAC" w:rsidRDefault="00A24BAC">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à mesure que les versions électroniques commencent à être disponibles</w:t>
      </w:r>
      <w:r w:rsidR="008C1325">
        <w:rPr>
          <w:rFonts w:ascii="Times" w:hAnsi="Times"/>
          <w:snapToGrid w:val="0"/>
          <w:sz w:val="22"/>
          <w:szCs w:val="22"/>
        </w:rPr>
        <w:t>,</w:t>
      </w:r>
      <w:r w:rsidRPr="002D7EC2">
        <w:rPr>
          <w:rFonts w:ascii="Times" w:hAnsi="Times"/>
          <w:snapToGrid w:val="0"/>
          <w:sz w:val="22"/>
          <w:szCs w:val="22"/>
        </w:rPr>
        <w:t xml:space="preserve">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4D47582F" w14:textId="20848596" w:rsidR="00052FA5" w:rsidRPr="002D7EC2" w:rsidRDefault="00052FA5">
      <w:pPr>
        <w:jc w:val="both"/>
        <w:rPr>
          <w:rFonts w:ascii="Times" w:hAnsi="Times"/>
          <w:snapToGrid w:val="0"/>
          <w:sz w:val="22"/>
          <w:szCs w:val="22"/>
        </w:rPr>
      </w:pPr>
      <w:r>
        <w:rPr>
          <w:rFonts w:ascii="Times" w:hAnsi="Times"/>
          <w:snapToGrid w:val="0"/>
          <w:sz w:val="22"/>
          <w:szCs w:val="22"/>
        </w:rPr>
        <w:t>Le Concédant n’octroie pas de droits d’archives.</w:t>
      </w:r>
    </w:p>
    <w:p w14:paraId="369957AB" w14:textId="77777777" w:rsidR="00A24BAC" w:rsidRPr="002D7EC2" w:rsidRDefault="00A24BAC">
      <w:pPr>
        <w:jc w:val="both"/>
        <w:rPr>
          <w:rFonts w:ascii="Times" w:hAnsi="Times"/>
          <w:snapToGrid w:val="0"/>
          <w:sz w:val="22"/>
          <w:szCs w:val="22"/>
          <w:highlight w:val="yellow"/>
        </w:rPr>
      </w:pP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2C3360B1"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w:t>
      </w:r>
      <w:r w:rsidR="008C1325">
        <w:rPr>
          <w:rFonts w:ascii="Times" w:hAnsi="Times"/>
          <w:snapToGrid w:val="0"/>
          <w:sz w:val="22"/>
          <w:szCs w:val="22"/>
        </w:rPr>
        <w:t xml:space="preserve">ou par l’intermédiation d’une agence </w:t>
      </w:r>
      <w:r w:rsidRPr="002D7EC2">
        <w:rPr>
          <w:rFonts w:ascii="Times" w:hAnsi="Times"/>
          <w:snapToGrid w:val="0"/>
          <w:sz w:val="22"/>
          <w:szCs w:val="22"/>
        </w:rPr>
        <w:t>à l’Abonné toutes les redevances.</w:t>
      </w:r>
    </w:p>
    <w:p w14:paraId="313D01A6" w14:textId="77777777" w:rsidR="00A24BAC" w:rsidRPr="002D7EC2" w:rsidRDefault="00A24BAC">
      <w:pPr>
        <w:pStyle w:val="Corpsdetexte"/>
        <w:rPr>
          <w:rFonts w:ascii="Times" w:hAnsi="Times"/>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094E0E">
        <w:rPr>
          <w:rFonts w:ascii="Times" w:hAnsi="Times"/>
          <w:b/>
          <w:snapToGrid w:val="0"/>
          <w:color w:val="000000"/>
          <w:sz w:val="28"/>
          <w:szCs w:val="28"/>
          <w:highlight w:val="yellow"/>
        </w:rPr>
        <w:lastRenderedPageBreak/>
        <w:t>ANNEXE 2. Liste des Éléments sous Licence – Souscrits</w:t>
      </w:r>
    </w:p>
    <w:p w14:paraId="13CE0CBA" w14:textId="2BE9A498" w:rsidR="00A24BAC" w:rsidRDefault="00A24BAC">
      <w:pPr>
        <w:jc w:val="both"/>
        <w:rPr>
          <w:rFonts w:ascii="Times" w:hAnsi="Times"/>
          <w:snapToGrid w:val="0"/>
          <w:color w:val="000000"/>
          <w:sz w:val="22"/>
          <w:szCs w:val="22"/>
        </w:rPr>
      </w:pPr>
    </w:p>
    <w:p w14:paraId="62CAE96D" w14:textId="6B093D5A" w:rsidR="00A24BAC" w:rsidRPr="000B17E3" w:rsidRDefault="000B17E3">
      <w:pPr>
        <w:jc w:val="both"/>
        <w:rPr>
          <w:rFonts w:ascii="Times" w:hAnsi="Times"/>
          <w:snapToGrid w:val="0"/>
          <w:color w:val="000000"/>
          <w:sz w:val="22"/>
          <w:szCs w:val="22"/>
        </w:rPr>
      </w:pPr>
      <w:r w:rsidRPr="000B17E3">
        <w:rPr>
          <w:rFonts w:ascii="Times" w:hAnsi="Times"/>
          <w:snapToGrid w:val="0"/>
          <w:color w:val="000000"/>
          <w:sz w:val="22"/>
          <w:szCs w:val="22"/>
        </w:rPr>
        <w:t>Revues</w:t>
      </w:r>
    </w:p>
    <w:p w14:paraId="75D0CE3F" w14:textId="1D576054"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Cahiers de droit européen (CADE)</w:t>
      </w:r>
      <w:r w:rsidRPr="000B17E3">
        <w:rPr>
          <w:rFonts w:ascii="Times" w:hAnsi="Times"/>
          <w:snapToGrid w:val="0"/>
          <w:color w:val="000000"/>
          <w:sz w:val="22"/>
          <w:szCs w:val="22"/>
        </w:rPr>
        <w:tab/>
        <w:t>&gt; 2000</w:t>
      </w:r>
      <w:r w:rsidRPr="000B17E3">
        <w:rPr>
          <w:rFonts w:ascii="Times" w:hAnsi="Times"/>
          <w:snapToGrid w:val="0"/>
          <w:color w:val="000000"/>
          <w:sz w:val="22"/>
          <w:szCs w:val="22"/>
        </w:rPr>
        <w:tab/>
        <w:t>19</w:t>
      </w:r>
      <w:r w:rsidR="008D7E84">
        <w:rPr>
          <w:rFonts w:ascii="Times" w:hAnsi="Times"/>
          <w:snapToGrid w:val="0"/>
          <w:color w:val="000000"/>
          <w:sz w:val="22"/>
          <w:szCs w:val="22"/>
        </w:rPr>
        <w:t>66</w:t>
      </w:r>
    </w:p>
    <w:p w14:paraId="668536FA"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Entertainment</w:t>
      </w:r>
      <w:r w:rsidRPr="000B17E3">
        <w:rPr>
          <w:rFonts w:ascii="Times" w:hAnsi="Times"/>
          <w:snapToGrid w:val="0"/>
          <w:color w:val="000000"/>
          <w:sz w:val="22"/>
          <w:szCs w:val="22"/>
        </w:rPr>
        <w:tab/>
        <w:t>&gt; 2017</w:t>
      </w:r>
      <w:r w:rsidRPr="000B17E3">
        <w:rPr>
          <w:rFonts w:ascii="Times" w:hAnsi="Times"/>
          <w:snapToGrid w:val="0"/>
          <w:color w:val="000000"/>
          <w:sz w:val="22"/>
          <w:szCs w:val="22"/>
        </w:rPr>
        <w:tab/>
      </w:r>
    </w:p>
    <w:p w14:paraId="1F9B0AD6"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proofErr w:type="spellStart"/>
      <w:r w:rsidRPr="000B17E3">
        <w:rPr>
          <w:rFonts w:ascii="Times" w:hAnsi="Times"/>
          <w:snapToGrid w:val="0"/>
          <w:color w:val="000000"/>
          <w:sz w:val="22"/>
          <w:szCs w:val="22"/>
        </w:rPr>
        <w:t>Euredia</w:t>
      </w:r>
      <w:proofErr w:type="spellEnd"/>
      <w:r w:rsidRPr="000B17E3">
        <w:rPr>
          <w:rFonts w:ascii="Times" w:hAnsi="Times"/>
          <w:snapToGrid w:val="0"/>
          <w:color w:val="000000"/>
          <w:sz w:val="22"/>
          <w:szCs w:val="22"/>
        </w:rPr>
        <w:t xml:space="preserve"> (EUREDIA)</w:t>
      </w:r>
      <w:r w:rsidRPr="000B17E3">
        <w:rPr>
          <w:rFonts w:ascii="Times" w:hAnsi="Times"/>
          <w:snapToGrid w:val="0"/>
          <w:color w:val="000000"/>
          <w:sz w:val="22"/>
          <w:szCs w:val="22"/>
        </w:rPr>
        <w:tab/>
        <w:t>2000-2011</w:t>
      </w:r>
      <w:r w:rsidRPr="000B17E3">
        <w:rPr>
          <w:rFonts w:ascii="Times" w:hAnsi="Times"/>
          <w:snapToGrid w:val="0"/>
          <w:color w:val="000000"/>
          <w:sz w:val="22"/>
          <w:szCs w:val="22"/>
        </w:rPr>
        <w:tab/>
      </w:r>
    </w:p>
    <w:p w14:paraId="19FB6A71"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Journal de Droit Européen (anciennement JTDE)</w:t>
      </w:r>
      <w:r w:rsidRPr="000B17E3">
        <w:rPr>
          <w:rFonts w:ascii="Times" w:hAnsi="Times"/>
          <w:snapToGrid w:val="0"/>
          <w:color w:val="000000"/>
          <w:sz w:val="22"/>
          <w:szCs w:val="22"/>
        </w:rPr>
        <w:tab/>
        <w:t>&gt; 2000</w:t>
      </w:r>
      <w:r w:rsidRPr="000B17E3">
        <w:rPr>
          <w:rFonts w:ascii="Times" w:hAnsi="Times"/>
          <w:snapToGrid w:val="0"/>
          <w:color w:val="000000"/>
          <w:sz w:val="22"/>
          <w:szCs w:val="22"/>
        </w:rPr>
        <w:tab/>
        <w:t>1993</w:t>
      </w:r>
    </w:p>
    <w:p w14:paraId="5D2F3B74"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Journal européen des droits de l'homme (JEDH)</w:t>
      </w:r>
      <w:r w:rsidRPr="000B17E3">
        <w:rPr>
          <w:rFonts w:ascii="Times" w:hAnsi="Times"/>
          <w:snapToGrid w:val="0"/>
          <w:color w:val="000000"/>
          <w:sz w:val="22"/>
          <w:szCs w:val="22"/>
        </w:rPr>
        <w:tab/>
        <w:t>&gt; 2013</w:t>
      </w:r>
      <w:r w:rsidRPr="000B17E3">
        <w:rPr>
          <w:rFonts w:ascii="Times" w:hAnsi="Times"/>
          <w:snapToGrid w:val="0"/>
          <w:color w:val="000000"/>
          <w:sz w:val="22"/>
          <w:szCs w:val="22"/>
        </w:rPr>
        <w:tab/>
      </w:r>
    </w:p>
    <w:p w14:paraId="7808B923"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proofErr w:type="spellStart"/>
      <w:r w:rsidRPr="000B17E3">
        <w:rPr>
          <w:rFonts w:ascii="Times" w:hAnsi="Times"/>
          <w:snapToGrid w:val="0"/>
          <w:color w:val="000000"/>
          <w:sz w:val="22"/>
          <w:szCs w:val="22"/>
        </w:rPr>
        <w:t>JurisNews</w:t>
      </w:r>
      <w:proofErr w:type="spellEnd"/>
      <w:r w:rsidRPr="000B17E3">
        <w:rPr>
          <w:rFonts w:ascii="Times" w:hAnsi="Times"/>
          <w:snapToGrid w:val="0"/>
          <w:color w:val="000000"/>
          <w:sz w:val="22"/>
          <w:szCs w:val="22"/>
        </w:rPr>
        <w:t xml:space="preserve"> - Droit public européen (JUNEPUB)</w:t>
      </w:r>
      <w:r w:rsidRPr="000B17E3">
        <w:rPr>
          <w:rFonts w:ascii="Times" w:hAnsi="Times"/>
          <w:snapToGrid w:val="0"/>
          <w:color w:val="000000"/>
          <w:sz w:val="22"/>
          <w:szCs w:val="22"/>
        </w:rPr>
        <w:tab/>
        <w:t>2013-2014</w:t>
      </w:r>
      <w:r w:rsidRPr="000B17E3">
        <w:rPr>
          <w:rFonts w:ascii="Times" w:hAnsi="Times"/>
          <w:snapToGrid w:val="0"/>
          <w:color w:val="000000"/>
          <w:sz w:val="22"/>
          <w:szCs w:val="22"/>
        </w:rPr>
        <w:tab/>
      </w:r>
    </w:p>
    <w:p w14:paraId="01B3786B"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proofErr w:type="spellStart"/>
      <w:r w:rsidRPr="000B17E3">
        <w:rPr>
          <w:rFonts w:ascii="Times" w:hAnsi="Times"/>
          <w:snapToGrid w:val="0"/>
          <w:color w:val="000000"/>
          <w:sz w:val="22"/>
          <w:szCs w:val="22"/>
        </w:rPr>
        <w:t>JurisNews</w:t>
      </w:r>
      <w:proofErr w:type="spellEnd"/>
      <w:r w:rsidRPr="000B17E3">
        <w:rPr>
          <w:rFonts w:ascii="Times" w:hAnsi="Times"/>
          <w:snapToGrid w:val="0"/>
          <w:color w:val="000000"/>
          <w:sz w:val="22"/>
          <w:szCs w:val="22"/>
        </w:rPr>
        <w:t xml:space="preserve"> - Fonction publique européenne (JUNEFON)</w:t>
      </w:r>
      <w:r w:rsidRPr="000B17E3">
        <w:rPr>
          <w:rFonts w:ascii="Times" w:hAnsi="Times"/>
          <w:snapToGrid w:val="0"/>
          <w:color w:val="000000"/>
          <w:sz w:val="22"/>
          <w:szCs w:val="22"/>
        </w:rPr>
        <w:tab/>
        <w:t>&gt; 2013</w:t>
      </w:r>
      <w:r w:rsidRPr="000B17E3">
        <w:rPr>
          <w:rFonts w:ascii="Times" w:hAnsi="Times"/>
          <w:snapToGrid w:val="0"/>
          <w:color w:val="000000"/>
          <w:sz w:val="22"/>
          <w:szCs w:val="22"/>
        </w:rPr>
        <w:tab/>
      </w:r>
    </w:p>
    <w:p w14:paraId="5D1F485B" w14:textId="77777777" w:rsidR="000B17E3" w:rsidRPr="000B17E3" w:rsidRDefault="000B17E3" w:rsidP="000B17E3">
      <w:pPr>
        <w:pStyle w:val="Paragraphedeliste"/>
        <w:numPr>
          <w:ilvl w:val="0"/>
          <w:numId w:val="29"/>
        </w:numPr>
        <w:jc w:val="both"/>
        <w:rPr>
          <w:rFonts w:ascii="Times" w:hAnsi="Times"/>
          <w:snapToGrid w:val="0"/>
          <w:color w:val="000000"/>
          <w:sz w:val="22"/>
          <w:szCs w:val="22"/>
          <w:lang w:val="en-US"/>
        </w:rPr>
      </w:pPr>
      <w:r w:rsidRPr="000B17E3">
        <w:rPr>
          <w:rFonts w:ascii="Times" w:hAnsi="Times"/>
          <w:snapToGrid w:val="0"/>
          <w:color w:val="000000"/>
          <w:sz w:val="22"/>
          <w:szCs w:val="22"/>
          <w:lang w:val="en-US"/>
        </w:rPr>
        <w:t>Juris-News - Investment Management (JUNEINV)</w:t>
      </w:r>
      <w:r w:rsidRPr="000B17E3">
        <w:rPr>
          <w:rFonts w:ascii="Times" w:hAnsi="Times"/>
          <w:snapToGrid w:val="0"/>
          <w:color w:val="000000"/>
          <w:sz w:val="22"/>
          <w:szCs w:val="22"/>
          <w:lang w:val="en-US"/>
        </w:rPr>
        <w:tab/>
        <w:t>&gt; 2013</w:t>
      </w:r>
      <w:r w:rsidRPr="000B17E3">
        <w:rPr>
          <w:rFonts w:ascii="Times" w:hAnsi="Times"/>
          <w:snapToGrid w:val="0"/>
          <w:color w:val="000000"/>
          <w:sz w:val="22"/>
          <w:szCs w:val="22"/>
          <w:lang w:val="en-US"/>
        </w:rPr>
        <w:tab/>
      </w:r>
    </w:p>
    <w:p w14:paraId="1427C0B4"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Observateur de Bruxelles</w:t>
      </w:r>
      <w:r w:rsidRPr="000B17E3">
        <w:rPr>
          <w:rFonts w:ascii="Times" w:hAnsi="Times"/>
          <w:snapToGrid w:val="0"/>
          <w:color w:val="000000"/>
          <w:sz w:val="22"/>
          <w:szCs w:val="22"/>
        </w:rPr>
        <w:tab/>
        <w:t>&gt; 2009</w:t>
      </w:r>
      <w:r w:rsidRPr="000B17E3">
        <w:rPr>
          <w:rFonts w:ascii="Times" w:hAnsi="Times"/>
          <w:snapToGrid w:val="0"/>
          <w:color w:val="000000"/>
          <w:sz w:val="22"/>
          <w:szCs w:val="22"/>
        </w:rPr>
        <w:tab/>
      </w:r>
    </w:p>
    <w:p w14:paraId="54186440"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belge de droit international (RBDI)</w:t>
      </w:r>
      <w:r w:rsidRPr="000B17E3">
        <w:rPr>
          <w:rFonts w:ascii="Times" w:hAnsi="Times"/>
          <w:snapToGrid w:val="0"/>
          <w:color w:val="000000"/>
          <w:sz w:val="22"/>
          <w:szCs w:val="22"/>
        </w:rPr>
        <w:tab/>
        <w:t>&gt; 2000</w:t>
      </w:r>
      <w:r w:rsidRPr="000B17E3">
        <w:rPr>
          <w:rFonts w:ascii="Times" w:hAnsi="Times"/>
          <w:snapToGrid w:val="0"/>
          <w:color w:val="000000"/>
          <w:sz w:val="22"/>
          <w:szCs w:val="22"/>
        </w:rPr>
        <w:tab/>
        <w:t>&gt; 1980</w:t>
      </w:r>
    </w:p>
    <w:p w14:paraId="46CAC131"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de Droit des Technologies de l'Information (R.D.T.I.)</w:t>
      </w:r>
      <w:r w:rsidRPr="000B17E3">
        <w:rPr>
          <w:rFonts w:ascii="Times" w:hAnsi="Times"/>
          <w:snapToGrid w:val="0"/>
          <w:color w:val="000000"/>
          <w:sz w:val="22"/>
          <w:szCs w:val="22"/>
        </w:rPr>
        <w:tab/>
        <w:t>&gt; 2002</w:t>
      </w:r>
      <w:r w:rsidRPr="000B17E3">
        <w:rPr>
          <w:rFonts w:ascii="Times" w:hAnsi="Times"/>
          <w:snapToGrid w:val="0"/>
          <w:color w:val="000000"/>
          <w:sz w:val="22"/>
          <w:szCs w:val="22"/>
        </w:rPr>
        <w:tab/>
      </w:r>
    </w:p>
    <w:p w14:paraId="6B625BC0"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de Droit International et de Droit Comparé (R.D.I.D.C.)</w:t>
      </w:r>
      <w:r w:rsidRPr="000B17E3">
        <w:rPr>
          <w:rFonts w:ascii="Times" w:hAnsi="Times"/>
          <w:snapToGrid w:val="0"/>
          <w:color w:val="000000"/>
          <w:sz w:val="22"/>
          <w:szCs w:val="22"/>
        </w:rPr>
        <w:tab/>
        <w:t>&gt; 2000</w:t>
      </w:r>
      <w:r w:rsidRPr="000B17E3">
        <w:rPr>
          <w:rFonts w:ascii="Times" w:hAnsi="Times"/>
          <w:snapToGrid w:val="0"/>
          <w:color w:val="000000"/>
          <w:sz w:val="22"/>
          <w:szCs w:val="22"/>
        </w:rPr>
        <w:tab/>
      </w:r>
    </w:p>
    <w:p w14:paraId="3766C49E"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des affaires européennes (RAE)</w:t>
      </w:r>
      <w:r w:rsidRPr="000B17E3">
        <w:rPr>
          <w:rFonts w:ascii="Times" w:hAnsi="Times"/>
          <w:snapToGrid w:val="0"/>
          <w:color w:val="000000"/>
          <w:sz w:val="22"/>
          <w:szCs w:val="22"/>
        </w:rPr>
        <w:tab/>
        <w:t>&gt; 2003</w:t>
      </w:r>
      <w:r w:rsidRPr="000B17E3">
        <w:rPr>
          <w:rFonts w:ascii="Times" w:hAnsi="Times"/>
          <w:snapToGrid w:val="0"/>
          <w:color w:val="000000"/>
          <w:sz w:val="22"/>
          <w:szCs w:val="22"/>
        </w:rPr>
        <w:tab/>
      </w:r>
    </w:p>
    <w:p w14:paraId="7C91C294"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européenne de droit de la consommation (R.E.D.C.)</w:t>
      </w:r>
      <w:r w:rsidRPr="000B17E3">
        <w:rPr>
          <w:rFonts w:ascii="Times" w:hAnsi="Times"/>
          <w:snapToGrid w:val="0"/>
          <w:color w:val="000000"/>
          <w:sz w:val="22"/>
          <w:szCs w:val="22"/>
        </w:rPr>
        <w:tab/>
        <w:t>&gt; 2002</w:t>
      </w:r>
      <w:r w:rsidRPr="000B17E3">
        <w:rPr>
          <w:rFonts w:ascii="Times" w:hAnsi="Times"/>
          <w:snapToGrid w:val="0"/>
          <w:color w:val="000000"/>
          <w:sz w:val="22"/>
          <w:szCs w:val="22"/>
        </w:rPr>
        <w:tab/>
      </w:r>
    </w:p>
    <w:p w14:paraId="7EE29828" w14:textId="77777777" w:rsidR="000B17E3" w:rsidRP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européenne et internationale de droit fiscal (IEDF)</w:t>
      </w:r>
      <w:r w:rsidRPr="000B17E3">
        <w:rPr>
          <w:rFonts w:ascii="Times" w:hAnsi="Times"/>
          <w:snapToGrid w:val="0"/>
          <w:color w:val="000000"/>
          <w:sz w:val="22"/>
          <w:szCs w:val="22"/>
        </w:rPr>
        <w:tab/>
        <w:t>&gt; 2015</w:t>
      </w:r>
      <w:r w:rsidRPr="000B17E3">
        <w:rPr>
          <w:rFonts w:ascii="Times" w:hAnsi="Times"/>
          <w:snapToGrid w:val="0"/>
          <w:color w:val="000000"/>
          <w:sz w:val="22"/>
          <w:szCs w:val="22"/>
        </w:rPr>
        <w:tab/>
      </w:r>
    </w:p>
    <w:p w14:paraId="5C838860" w14:textId="32DE2D52" w:rsidR="000B17E3" w:rsidRDefault="000B17E3" w:rsidP="000B17E3">
      <w:pPr>
        <w:pStyle w:val="Paragraphedeliste"/>
        <w:numPr>
          <w:ilvl w:val="0"/>
          <w:numId w:val="29"/>
        </w:numPr>
        <w:jc w:val="both"/>
        <w:rPr>
          <w:rFonts w:ascii="Times" w:hAnsi="Times"/>
          <w:snapToGrid w:val="0"/>
          <w:color w:val="000000"/>
          <w:sz w:val="22"/>
          <w:szCs w:val="22"/>
        </w:rPr>
      </w:pPr>
      <w:r w:rsidRPr="000B17E3">
        <w:rPr>
          <w:rFonts w:ascii="Times" w:hAnsi="Times"/>
          <w:snapToGrid w:val="0"/>
          <w:color w:val="000000"/>
          <w:sz w:val="22"/>
          <w:szCs w:val="22"/>
        </w:rPr>
        <w:t>Revue internationale des services financiers (RISF)</w:t>
      </w:r>
      <w:r w:rsidRPr="000B17E3">
        <w:rPr>
          <w:rFonts w:ascii="Times" w:hAnsi="Times"/>
          <w:snapToGrid w:val="0"/>
          <w:color w:val="000000"/>
          <w:sz w:val="22"/>
          <w:szCs w:val="22"/>
        </w:rPr>
        <w:tab/>
        <w:t>&gt; 2014</w:t>
      </w:r>
      <w:r w:rsidRPr="000B17E3">
        <w:rPr>
          <w:rFonts w:ascii="Times" w:hAnsi="Times"/>
          <w:snapToGrid w:val="0"/>
          <w:color w:val="000000"/>
          <w:sz w:val="22"/>
          <w:szCs w:val="22"/>
        </w:rPr>
        <w:tab/>
      </w:r>
    </w:p>
    <w:p w14:paraId="107D70DE" w14:textId="2CDC352B" w:rsidR="00A12814" w:rsidRDefault="00A12814" w:rsidP="000B17E3">
      <w:pPr>
        <w:pStyle w:val="Paragraphedeliste"/>
        <w:numPr>
          <w:ilvl w:val="0"/>
          <w:numId w:val="29"/>
        </w:numPr>
        <w:jc w:val="both"/>
        <w:rPr>
          <w:rFonts w:ascii="Times" w:hAnsi="Times"/>
          <w:snapToGrid w:val="0"/>
          <w:color w:val="000000"/>
          <w:sz w:val="22"/>
          <w:szCs w:val="22"/>
        </w:rPr>
      </w:pPr>
      <w:r w:rsidRPr="00A12814">
        <w:rPr>
          <w:rFonts w:ascii="Times" w:hAnsi="Times"/>
          <w:snapToGrid w:val="0"/>
          <w:color w:val="000000"/>
          <w:sz w:val="22"/>
          <w:szCs w:val="22"/>
        </w:rPr>
        <w:t xml:space="preserve">Clément Juglar – Revue du droit de l’Union européenne (RDUE) </w:t>
      </w:r>
      <w:r w:rsidRPr="00A12814">
        <w:rPr>
          <w:rFonts w:ascii="Times" w:hAnsi="Times"/>
          <w:snapToGrid w:val="0"/>
          <w:color w:val="000000"/>
          <w:sz w:val="22"/>
          <w:szCs w:val="22"/>
        </w:rPr>
        <w:tab/>
        <w:t>&gt; 2009</w:t>
      </w:r>
    </w:p>
    <w:p w14:paraId="34349E86" w14:textId="3BBF91DC" w:rsidR="00A12814" w:rsidRDefault="00A12814" w:rsidP="00A12814">
      <w:pPr>
        <w:jc w:val="both"/>
        <w:rPr>
          <w:rFonts w:ascii="Times" w:hAnsi="Times"/>
          <w:snapToGrid w:val="0"/>
          <w:color w:val="000000"/>
          <w:sz w:val="22"/>
          <w:szCs w:val="22"/>
        </w:rPr>
      </w:pPr>
    </w:p>
    <w:p w14:paraId="3F4B7C4A" w14:textId="4A06C624" w:rsidR="00A12814" w:rsidRDefault="00A12814" w:rsidP="00A12814">
      <w:pPr>
        <w:jc w:val="both"/>
        <w:rPr>
          <w:rFonts w:ascii="Times" w:hAnsi="Times"/>
          <w:snapToGrid w:val="0"/>
          <w:color w:val="000000"/>
          <w:sz w:val="22"/>
          <w:szCs w:val="22"/>
        </w:rPr>
      </w:pPr>
      <w:r>
        <w:rPr>
          <w:rFonts w:ascii="Times" w:hAnsi="Times"/>
          <w:snapToGrid w:val="0"/>
          <w:color w:val="000000"/>
          <w:sz w:val="22"/>
          <w:szCs w:val="22"/>
        </w:rPr>
        <w:t>Ebooks</w:t>
      </w:r>
    </w:p>
    <w:p w14:paraId="00EC3D1B" w14:textId="6F18E206" w:rsidR="00A12814" w:rsidRDefault="00A12814" w:rsidP="00A12814">
      <w:pPr>
        <w:jc w:val="both"/>
        <w:rPr>
          <w:rFonts w:ascii="Times" w:hAnsi="Times"/>
          <w:snapToGrid w:val="0"/>
          <w:color w:val="000000"/>
          <w:sz w:val="22"/>
          <w:szCs w:val="22"/>
        </w:rPr>
      </w:pPr>
      <w:r>
        <w:rPr>
          <w:rFonts w:ascii="Times" w:hAnsi="Times"/>
          <w:snapToGrid w:val="0"/>
          <w:color w:val="000000"/>
          <w:sz w:val="22"/>
          <w:szCs w:val="22"/>
        </w:rPr>
        <w:t>Selon formule (</w:t>
      </w:r>
      <w:proofErr w:type="spellStart"/>
      <w:r>
        <w:rPr>
          <w:rFonts w:ascii="Times" w:hAnsi="Times"/>
          <w:snapToGrid w:val="0"/>
          <w:color w:val="000000"/>
          <w:sz w:val="22"/>
          <w:szCs w:val="22"/>
        </w:rPr>
        <w:t>Classic</w:t>
      </w:r>
      <w:proofErr w:type="spellEnd"/>
      <w:r>
        <w:rPr>
          <w:rFonts w:ascii="Times" w:hAnsi="Times"/>
          <w:snapToGrid w:val="0"/>
          <w:color w:val="000000"/>
          <w:sz w:val="22"/>
          <w:szCs w:val="22"/>
        </w:rPr>
        <w:t xml:space="preserve"> ou Plus)</w:t>
      </w:r>
    </w:p>
    <w:p w14:paraId="28A3E6E8" w14:textId="77777777" w:rsidR="00A12814" w:rsidRDefault="00A12814">
      <w:pPr>
        <w:rPr>
          <w:rFonts w:ascii="Times" w:hAnsi="Times"/>
          <w:snapToGrid w:val="0"/>
          <w:color w:val="000000"/>
          <w:sz w:val="22"/>
          <w:szCs w:val="22"/>
        </w:rPr>
      </w:pPr>
      <w:r>
        <w:rPr>
          <w:rFonts w:ascii="Times" w:hAnsi="Times"/>
          <w:snapToGrid w:val="0"/>
          <w:color w:val="000000"/>
          <w:sz w:val="22"/>
          <w:szCs w:val="22"/>
        </w:rPr>
        <w:br w:type="page"/>
      </w:r>
    </w:p>
    <w:p w14:paraId="59ECDE4C" w14:textId="77777777" w:rsidR="00A12814" w:rsidRPr="00A12814" w:rsidRDefault="00A12814" w:rsidP="00A12814">
      <w:pPr>
        <w:jc w:val="both"/>
        <w:rPr>
          <w:rFonts w:ascii="Times" w:hAnsi="Times"/>
          <w:snapToGrid w:val="0"/>
          <w:color w:val="000000"/>
          <w:sz w:val="22"/>
          <w:szCs w:val="22"/>
        </w:rPr>
      </w:pPr>
    </w:p>
    <w:p w14:paraId="1D69DABC" w14:textId="28E53B2D" w:rsidR="00A24BAC" w:rsidRPr="002D7EC2" w:rsidRDefault="00A24BAC" w:rsidP="00A12814">
      <w:pPr>
        <w:rPr>
          <w:snapToGrid w:val="0"/>
        </w:rPr>
      </w:pPr>
    </w:p>
    <w:p w14:paraId="00F91380" w14:textId="77777777" w:rsidR="00A24BAC" w:rsidRPr="002D7EC2" w:rsidRDefault="00A24BAC">
      <w:pPr>
        <w:jc w:val="both"/>
        <w:rPr>
          <w:rFonts w:ascii="Times" w:hAnsi="Times"/>
          <w:snapToGrid w:val="0"/>
          <w:color w:val="000000"/>
          <w:sz w:val="22"/>
          <w:szCs w:val="22"/>
          <w:highlight w:val="cyan"/>
        </w:rPr>
      </w:pPr>
    </w:p>
    <w:p w14:paraId="6E6DC7A0" w14:textId="60165D80"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 xml:space="preserve">ANNEXE 3 : Description du ou des site(s) </w:t>
      </w:r>
      <w:r w:rsidRPr="00562712">
        <w:rPr>
          <w:rFonts w:ascii="Times" w:hAnsi="Times"/>
          <w:b/>
          <w:snapToGrid w:val="0"/>
          <w:color w:val="000000"/>
          <w:sz w:val="28"/>
          <w:szCs w:val="28"/>
        </w:rPr>
        <w:t>de l’Abonné</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7E081427" w14:textId="69BB86F9" w:rsidR="00841D58" w:rsidRPr="00841D58" w:rsidRDefault="00A24BAC" w:rsidP="009E2BEF">
      <w:pPr>
        <w:jc w:val="both"/>
        <w:rPr>
          <w:rFonts w:ascii="Times" w:hAnsi="Times"/>
          <w:snapToGrid w:val="0"/>
          <w:sz w:val="22"/>
          <w:szCs w:val="22"/>
        </w:rPr>
      </w:pPr>
      <w:r w:rsidRPr="009E2BEF">
        <w:rPr>
          <w:rFonts w:ascii="Times" w:hAnsi="Times"/>
          <w:snapToGrid w:val="0"/>
          <w:color w:val="000000"/>
          <w:sz w:val="22"/>
          <w:szCs w:val="22"/>
          <w:highlight w:val="yellow"/>
        </w:rPr>
        <w:t>Nom Adresse Contact E-mail Adresses IP</w:t>
      </w:r>
    </w:p>
    <w:sectPr w:rsidR="00841D58" w:rsidRPr="00841D58" w:rsidSect="004005B2">
      <w:headerReference w:type="default" r:id="rId8"/>
      <w:footerReference w:type="even" r:id="rId9"/>
      <w:footerReference w:type="default" r:id="rId10"/>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FCD77" w14:textId="77777777" w:rsidR="00EE38D2" w:rsidRDefault="00EE38D2">
      <w:r>
        <w:separator/>
      </w:r>
    </w:p>
  </w:endnote>
  <w:endnote w:type="continuationSeparator" w:id="0">
    <w:p w14:paraId="3ACBE8DE" w14:textId="77777777" w:rsidR="00EE38D2" w:rsidRDefault="00EE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F7E2B" w14:textId="77777777" w:rsidR="00866033" w:rsidRDefault="0086603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866033" w:rsidRDefault="0086603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6B988" w14:textId="77777777" w:rsidR="00866033" w:rsidRDefault="0086603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14:paraId="09788275" w14:textId="77777777" w:rsidR="00866033" w:rsidRDefault="00866033">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DB707B" w14:textId="77777777" w:rsidR="00EE38D2" w:rsidRDefault="00EE38D2">
      <w:r>
        <w:separator/>
      </w:r>
    </w:p>
  </w:footnote>
  <w:footnote w:type="continuationSeparator" w:id="0">
    <w:p w14:paraId="64E73858" w14:textId="77777777" w:rsidR="00EE38D2" w:rsidRDefault="00EE38D2">
      <w:r>
        <w:continuationSeparator/>
      </w:r>
    </w:p>
  </w:footnote>
  <w:footnote w:id="1">
    <w:p w14:paraId="6D9546AA" w14:textId="757C02F7" w:rsidR="00866033" w:rsidRDefault="00866033" w:rsidP="0061401F">
      <w:r>
        <w:rPr>
          <w:rStyle w:val="Appelnotedebasdep"/>
        </w:rPr>
        <w:footnoteRef/>
      </w:r>
      <w:r>
        <w:t xml:space="preserve"> </w:t>
      </w:r>
      <w:r w:rsidRPr="00327C5B">
        <w:t xml:space="preserve">Description à </w:t>
      </w:r>
      <w:r w:rsidRPr="00C1280F">
        <w:t>https://www.internet2.edu/products-services/trust-identity/shibboleth/</w:t>
      </w:r>
      <w:r w:rsidRPr="00327C5B">
        <w:t xml:space="preserve"> (lien visité le </w:t>
      </w:r>
      <w:r>
        <w:t>05/09/2023</w:t>
      </w:r>
      <w:r w:rsidRPr="00327C5B">
        <w:t xml:space="preserve">), </w:t>
      </w:r>
      <w:r w:rsidRPr="00C1280F">
        <w:t>https://services.renater.fr/federation/introduction/la-federation-education-recherche/fer-idps</w:t>
      </w:r>
      <w:r w:rsidRPr="00327C5B">
        <w:t xml:space="preserve"> (lien visité le </w:t>
      </w:r>
      <w:r>
        <w:t>05/09/2023</w:t>
      </w:r>
      <w:r w:rsidRPr="00327C5B">
        <w:t>).</w:t>
      </w:r>
    </w:p>
    <w:p w14:paraId="317C19F2" w14:textId="77777777" w:rsidR="00866033" w:rsidRDefault="00866033" w:rsidP="0061401F"/>
  </w:footnote>
  <w:footnote w:id="2">
    <w:p w14:paraId="3FB5D9BD" w14:textId="4E986517" w:rsidR="00866033" w:rsidRDefault="00866033">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5F15E7DA" w14:textId="1437C8F1" w:rsidR="00866033" w:rsidRDefault="00866033">
      <w:pPr>
        <w:pStyle w:val="Notedebasdepage"/>
      </w:pPr>
      <w:r>
        <w:rPr>
          <w:rStyle w:val="Appelnotedebasdep"/>
        </w:rPr>
        <w:footnoteRef/>
      </w:r>
      <w:r>
        <w:t xml:space="preserve"> </w:t>
      </w:r>
      <w:r w:rsidRPr="008F0000">
        <w:t>Ordonnance n° 2021-1518 du 24 novembre 2021 complétant la transposition de la directive 2019/790 du Parlement européen et du Conseil du 17 avril 2019 sur le droit d'auteur et les droits voisins dans le marché unique numérique et modifiant les directives 96/9/CE et 2001/29/CE</w:t>
      </w:r>
      <w:r>
        <w:t xml:space="preserve"> </w:t>
      </w:r>
      <w:hyperlink r:id="rId1" w:history="1">
        <w:r w:rsidRPr="003C7BD4">
          <w:rPr>
            <w:rStyle w:val="Lienhypertexte"/>
          </w:rPr>
          <w:t>https://www.legifrance.gouv.fr/jorf/id/JORFTEXT000044362034</w:t>
        </w:r>
      </w:hyperlink>
      <w:r>
        <w:t xml:space="preserve"> </w:t>
      </w:r>
      <w:r w:rsidRPr="008F0000">
        <w:t>(lien visité le 05/09/2023).</w:t>
      </w:r>
    </w:p>
  </w:footnote>
  <w:footnote w:id="4">
    <w:p w14:paraId="454126F0" w14:textId="3DACF1F8" w:rsidR="00866033" w:rsidRDefault="00866033">
      <w:pPr>
        <w:pStyle w:val="Notedebasdepage"/>
      </w:pPr>
      <w:r>
        <w:rPr>
          <w:rStyle w:val="Appelnotedebasdep"/>
        </w:rPr>
        <w:footnoteRef/>
      </w:r>
      <w:r>
        <w:t xml:space="preserve"> Sherpa Romeo </w:t>
      </w:r>
      <w:hyperlink r:id="rId2" w:history="1">
        <w:r w:rsidRPr="003C7BD4">
          <w:rPr>
            <w:rStyle w:val="Lienhypertexte"/>
          </w:rPr>
          <w:t>https://www.sherpa.ac.uk/romeo/</w:t>
        </w:r>
      </w:hyperlink>
      <w:r>
        <w:t xml:space="preserve"> </w:t>
      </w:r>
      <w:r w:rsidRPr="008F0000">
        <w:t>(lien visité le 05/09/2023).</w:t>
      </w:r>
    </w:p>
  </w:footnote>
  <w:footnote w:id="5">
    <w:p w14:paraId="200733BD" w14:textId="1CD44C87" w:rsidR="00866033" w:rsidRDefault="00866033">
      <w:pPr>
        <w:pStyle w:val="Notedebasdepage"/>
      </w:pPr>
      <w:r>
        <w:rPr>
          <w:rStyle w:val="Appelnotedebasdep"/>
        </w:rPr>
        <w:footnoteRef/>
      </w:r>
      <w:r>
        <w:t xml:space="preserve"> </w:t>
      </w:r>
      <w:hyperlink r:id="rId3" w:history="1">
        <w:r w:rsidRPr="003C7BD4">
          <w:rPr>
            <w:rStyle w:val="Lienhypertexte"/>
          </w:rPr>
          <w:t>https://eur-lex.europa.eu/legal-content/FR/TXT/HTML/?uri=CELEX:32016R0679R(02)&amp;qid=1528814703534&amp;from=en</w:t>
        </w:r>
      </w:hyperlink>
      <w:r>
        <w:t xml:space="preserve"> </w:t>
      </w:r>
      <w:r w:rsidRPr="008F0000">
        <w:t>(lien visité le 05/09/2023)</w:t>
      </w:r>
    </w:p>
  </w:footnote>
  <w:footnote w:id="6">
    <w:p w14:paraId="3BA6DA63" w14:textId="363C5EF4" w:rsidR="00866033" w:rsidRPr="00245D92" w:rsidRDefault="00866033">
      <w:pPr>
        <w:pStyle w:val="Notedebasdepage"/>
      </w:pPr>
      <w:r>
        <w:rPr>
          <w:rStyle w:val="Appelnotedebasdep"/>
        </w:rPr>
        <w:footnoteRef/>
      </w:r>
      <w:r>
        <w:t xml:space="preserve"> </w:t>
      </w:r>
      <w:hyperlink r:id="rId4" w:history="1">
        <w:r w:rsidRPr="003C7BD4">
          <w:rPr>
            <w:rStyle w:val="Lienhypertexte"/>
          </w:rPr>
          <w:t>https://www.niso.org/standards-committees/transfer</w:t>
        </w:r>
      </w:hyperlink>
      <w:r>
        <w:t xml:space="preserve"> </w:t>
      </w:r>
      <w:r w:rsidRPr="008F0000">
        <w:t>(lien visité le 05/09/2023)</w:t>
      </w:r>
    </w:p>
  </w:footnote>
  <w:footnote w:id="7">
    <w:p w14:paraId="6C84DB52" w14:textId="1F3323C7" w:rsidR="00866033" w:rsidRDefault="00866033">
      <w:pPr>
        <w:pStyle w:val="Notedebasdepage"/>
      </w:pPr>
      <w:r>
        <w:rPr>
          <w:rStyle w:val="Appelnotedebasdep"/>
        </w:rPr>
        <w:footnoteRef/>
      </w:r>
      <w:r>
        <w:t xml:space="preserve"> </w:t>
      </w:r>
      <w:r w:rsidRPr="00673D62">
        <w:t>https://www.couperin.org/negociations/editeurs-et-fournisseurs/counter/</w:t>
      </w:r>
      <w:r>
        <w:t xml:space="preserve"> </w:t>
      </w:r>
      <w:r w:rsidRPr="008F0000">
        <w:t>(lien visité le 05/09/2023)</w:t>
      </w:r>
    </w:p>
  </w:footnote>
  <w:footnote w:id="8">
    <w:p w14:paraId="0EDE2644" w14:textId="4FF3AE27" w:rsidR="00866033" w:rsidRPr="001A6D85" w:rsidRDefault="00866033">
      <w:pPr>
        <w:pStyle w:val="Notedebasdepage"/>
      </w:pPr>
      <w:r w:rsidRPr="001A6D85">
        <w:rPr>
          <w:rStyle w:val="Appelnotedebasdep"/>
        </w:rPr>
        <w:footnoteRef/>
      </w:r>
      <w:r w:rsidRPr="001A6D85">
        <w:t xml:space="preserve"> </w:t>
      </w:r>
      <w:r w:rsidRPr="000E26F0">
        <w:rPr>
          <w:rFonts w:ascii="Times" w:hAnsi="Times"/>
        </w:rPr>
        <w:t>https://www.niso.org/standards-committees/kbart</w:t>
      </w:r>
      <w:r w:rsidRPr="00F022DA">
        <w:rPr>
          <w:rFonts w:ascii="Times" w:hAnsi="Times"/>
        </w:rPr>
        <w:t xml:space="preserve"> </w:t>
      </w:r>
      <w:r w:rsidRPr="008F0000">
        <w:t>(lien visité le 05/09/2023)</w:t>
      </w:r>
      <w:r>
        <w:t xml:space="preserve"> </w:t>
      </w:r>
      <w:r w:rsidRPr="00F022DA">
        <w:rPr>
          <w:rFonts w:ascii="Times" w:hAnsi="Times"/>
        </w:rPr>
        <w:t>; version française (non officielle) sur</w:t>
      </w:r>
      <w:r w:rsidRPr="00F022DA">
        <w:rPr>
          <w:rFonts w:ascii="Times" w:hAnsi="Times"/>
        </w:rPr>
        <w:br/>
      </w:r>
      <w:r w:rsidRPr="00673D62">
        <w:t>https://www.couperin.org/negociations/editeurs-et-fournisseurs/kbart/</w:t>
      </w:r>
      <w:r w:rsidRPr="00F022DA">
        <w:rPr>
          <w:rFonts w:ascii="Times" w:hAnsi="Times"/>
        </w:rPr>
        <w:br/>
      </w:r>
      <w:r w:rsidRPr="008F0000">
        <w:t>(lien visité le 05/09/2023)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1A05" w14:textId="09DCAC6A" w:rsidR="00866033" w:rsidRDefault="00866033">
    <w:pPr>
      <w:pStyle w:val="En-tte"/>
      <w:rPr>
        <w:rFonts w:ascii="Arial" w:hAnsi="Arial" w:cs="Arial"/>
        <w:sz w:val="18"/>
        <w:szCs w:val="18"/>
      </w:rPr>
    </w:pPr>
    <w:r>
      <w:rPr>
        <w:rFonts w:ascii="Arial" w:hAnsi="Arial" w:cs="Arial"/>
        <w:sz w:val="18"/>
        <w:szCs w:val="18"/>
      </w:rPr>
      <w:t>Couperin – Licence Strada Lex 2024-2025</w:t>
    </w:r>
  </w:p>
  <w:p w14:paraId="5FD26F0F" w14:textId="77777777" w:rsidR="00866033" w:rsidRDefault="00866033">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1336EA"/>
    <w:multiLevelType w:val="hybridMultilevel"/>
    <w:tmpl w:val="BB7E5E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1"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4"/>
  </w:num>
  <w:num w:numId="2">
    <w:abstractNumId w:val="13"/>
  </w:num>
  <w:num w:numId="3">
    <w:abstractNumId w:val="15"/>
  </w:num>
  <w:num w:numId="4">
    <w:abstractNumId w:val="9"/>
  </w:num>
  <w:num w:numId="5">
    <w:abstractNumId w:val="8"/>
  </w:num>
  <w:num w:numId="6">
    <w:abstractNumId w:val="21"/>
  </w:num>
  <w:num w:numId="7">
    <w:abstractNumId w:val="18"/>
  </w:num>
  <w:num w:numId="8">
    <w:abstractNumId w:val="14"/>
  </w:num>
  <w:num w:numId="9">
    <w:abstractNumId w:val="0"/>
  </w:num>
  <w:num w:numId="10">
    <w:abstractNumId w:val="16"/>
  </w:num>
  <w:num w:numId="11">
    <w:abstractNumId w:val="19"/>
  </w:num>
  <w:num w:numId="12">
    <w:abstractNumId w:val="20"/>
  </w:num>
  <w:num w:numId="13">
    <w:abstractNumId w:val="23"/>
  </w:num>
  <w:num w:numId="14">
    <w:abstractNumId w:val="15"/>
    <w:lvlOverride w:ilvl="0">
      <w:startOverride w:val="6"/>
    </w:lvlOverride>
    <w:lvlOverride w:ilvl="1">
      <w:startOverride w:val="4"/>
    </w:lvlOverride>
  </w:num>
  <w:num w:numId="15">
    <w:abstractNumId w:val="1"/>
  </w:num>
  <w:num w:numId="16">
    <w:abstractNumId w:val="7"/>
  </w:num>
  <w:num w:numId="17">
    <w:abstractNumId w:val="6"/>
  </w:num>
  <w:num w:numId="18">
    <w:abstractNumId w:val="25"/>
  </w:num>
  <w:num w:numId="19">
    <w:abstractNumId w:val="10"/>
  </w:num>
  <w:num w:numId="20">
    <w:abstractNumId w:val="2"/>
  </w:num>
  <w:num w:numId="21">
    <w:abstractNumId w:val="5"/>
  </w:num>
  <w:num w:numId="22">
    <w:abstractNumId w:val="22"/>
  </w:num>
  <w:num w:numId="23">
    <w:abstractNumId w:val="4"/>
  </w:num>
  <w:num w:numId="24">
    <w:abstractNumId w:val="27"/>
  </w:num>
  <w:num w:numId="25">
    <w:abstractNumId w:val="17"/>
  </w:num>
  <w:num w:numId="26">
    <w:abstractNumId w:val="12"/>
  </w:num>
  <w:num w:numId="27">
    <w:abstractNumId w:val="3"/>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BAC"/>
    <w:rsid w:val="00006A6B"/>
    <w:rsid w:val="00027124"/>
    <w:rsid w:val="00032D96"/>
    <w:rsid w:val="00047061"/>
    <w:rsid w:val="000513EE"/>
    <w:rsid w:val="00052FA5"/>
    <w:rsid w:val="0006107A"/>
    <w:rsid w:val="00081125"/>
    <w:rsid w:val="000839F5"/>
    <w:rsid w:val="00087460"/>
    <w:rsid w:val="00090AEF"/>
    <w:rsid w:val="00094A3D"/>
    <w:rsid w:val="00094E0E"/>
    <w:rsid w:val="00095128"/>
    <w:rsid w:val="000A3BCD"/>
    <w:rsid w:val="000B17E3"/>
    <w:rsid w:val="000B206B"/>
    <w:rsid w:val="000E13A9"/>
    <w:rsid w:val="000E26F0"/>
    <w:rsid w:val="000E79EE"/>
    <w:rsid w:val="00106ED3"/>
    <w:rsid w:val="001356CA"/>
    <w:rsid w:val="00137D6E"/>
    <w:rsid w:val="00157E7C"/>
    <w:rsid w:val="00182764"/>
    <w:rsid w:val="001A6D85"/>
    <w:rsid w:val="001C256F"/>
    <w:rsid w:val="001C45F5"/>
    <w:rsid w:val="001E371B"/>
    <w:rsid w:val="001F35B0"/>
    <w:rsid w:val="001F6208"/>
    <w:rsid w:val="00217F6D"/>
    <w:rsid w:val="00231234"/>
    <w:rsid w:val="00233C2B"/>
    <w:rsid w:val="00245D92"/>
    <w:rsid w:val="00260C28"/>
    <w:rsid w:val="002934DA"/>
    <w:rsid w:val="002A0138"/>
    <w:rsid w:val="002A02EE"/>
    <w:rsid w:val="002A2A1B"/>
    <w:rsid w:val="002B6536"/>
    <w:rsid w:val="002C06B8"/>
    <w:rsid w:val="002D7EC2"/>
    <w:rsid w:val="002E39E6"/>
    <w:rsid w:val="002E53EE"/>
    <w:rsid w:val="002F54C9"/>
    <w:rsid w:val="003003E4"/>
    <w:rsid w:val="00304B14"/>
    <w:rsid w:val="00305334"/>
    <w:rsid w:val="00317591"/>
    <w:rsid w:val="00317808"/>
    <w:rsid w:val="00321DB2"/>
    <w:rsid w:val="003237F6"/>
    <w:rsid w:val="00327C5B"/>
    <w:rsid w:val="00344047"/>
    <w:rsid w:val="00346CCA"/>
    <w:rsid w:val="00355175"/>
    <w:rsid w:val="0035672A"/>
    <w:rsid w:val="003744D4"/>
    <w:rsid w:val="00380DCA"/>
    <w:rsid w:val="00386E6B"/>
    <w:rsid w:val="003A111A"/>
    <w:rsid w:val="003A526C"/>
    <w:rsid w:val="003A695A"/>
    <w:rsid w:val="003B1E2F"/>
    <w:rsid w:val="003B52F7"/>
    <w:rsid w:val="003C02F4"/>
    <w:rsid w:val="003E35CD"/>
    <w:rsid w:val="004005B2"/>
    <w:rsid w:val="004060B4"/>
    <w:rsid w:val="00407FD8"/>
    <w:rsid w:val="00415782"/>
    <w:rsid w:val="00427FE0"/>
    <w:rsid w:val="004368FD"/>
    <w:rsid w:val="00457BB5"/>
    <w:rsid w:val="004826AC"/>
    <w:rsid w:val="00486611"/>
    <w:rsid w:val="00487C81"/>
    <w:rsid w:val="004A0BFB"/>
    <w:rsid w:val="004A15D1"/>
    <w:rsid w:val="004A6CE1"/>
    <w:rsid w:val="004C1E0D"/>
    <w:rsid w:val="004C4D6F"/>
    <w:rsid w:val="004C5BAF"/>
    <w:rsid w:val="004C6183"/>
    <w:rsid w:val="004D0711"/>
    <w:rsid w:val="004D45B6"/>
    <w:rsid w:val="004D53D5"/>
    <w:rsid w:val="00504620"/>
    <w:rsid w:val="005062EA"/>
    <w:rsid w:val="00514AD3"/>
    <w:rsid w:val="0052104C"/>
    <w:rsid w:val="00544246"/>
    <w:rsid w:val="00550CD1"/>
    <w:rsid w:val="00562712"/>
    <w:rsid w:val="00566F8E"/>
    <w:rsid w:val="005703B9"/>
    <w:rsid w:val="00575F93"/>
    <w:rsid w:val="00580F20"/>
    <w:rsid w:val="005A5592"/>
    <w:rsid w:val="005A64B6"/>
    <w:rsid w:val="005B2390"/>
    <w:rsid w:val="005C0CDD"/>
    <w:rsid w:val="005E44DD"/>
    <w:rsid w:val="005E7A3C"/>
    <w:rsid w:val="005F2946"/>
    <w:rsid w:val="005F6BC1"/>
    <w:rsid w:val="005F6CF2"/>
    <w:rsid w:val="005F7CEB"/>
    <w:rsid w:val="005F7F6C"/>
    <w:rsid w:val="0061401F"/>
    <w:rsid w:val="0061768F"/>
    <w:rsid w:val="006217BB"/>
    <w:rsid w:val="00634D3E"/>
    <w:rsid w:val="00644ABC"/>
    <w:rsid w:val="00646A12"/>
    <w:rsid w:val="00656DF4"/>
    <w:rsid w:val="00660E29"/>
    <w:rsid w:val="00662F2F"/>
    <w:rsid w:val="00673D62"/>
    <w:rsid w:val="00680B63"/>
    <w:rsid w:val="00693D69"/>
    <w:rsid w:val="006A05CE"/>
    <w:rsid w:val="006A7EDC"/>
    <w:rsid w:val="006D4F93"/>
    <w:rsid w:val="006F2337"/>
    <w:rsid w:val="006F3349"/>
    <w:rsid w:val="0070266F"/>
    <w:rsid w:val="0070282E"/>
    <w:rsid w:val="00734C74"/>
    <w:rsid w:val="00737CC3"/>
    <w:rsid w:val="007427ED"/>
    <w:rsid w:val="00744231"/>
    <w:rsid w:val="007454C2"/>
    <w:rsid w:val="007500BB"/>
    <w:rsid w:val="00751D45"/>
    <w:rsid w:val="00775009"/>
    <w:rsid w:val="007A15BF"/>
    <w:rsid w:val="007B4E21"/>
    <w:rsid w:val="007C583E"/>
    <w:rsid w:val="007E20B6"/>
    <w:rsid w:val="007F5249"/>
    <w:rsid w:val="00841D58"/>
    <w:rsid w:val="008472CF"/>
    <w:rsid w:val="008478EF"/>
    <w:rsid w:val="00857B3B"/>
    <w:rsid w:val="00866033"/>
    <w:rsid w:val="008A01BB"/>
    <w:rsid w:val="008C1325"/>
    <w:rsid w:val="008D7E84"/>
    <w:rsid w:val="008E743F"/>
    <w:rsid w:val="008F0000"/>
    <w:rsid w:val="008F480F"/>
    <w:rsid w:val="00901C11"/>
    <w:rsid w:val="009071C0"/>
    <w:rsid w:val="00936515"/>
    <w:rsid w:val="00936F98"/>
    <w:rsid w:val="0094392D"/>
    <w:rsid w:val="0098516E"/>
    <w:rsid w:val="00990AC4"/>
    <w:rsid w:val="009B1030"/>
    <w:rsid w:val="009C3963"/>
    <w:rsid w:val="009E2BEF"/>
    <w:rsid w:val="00A00735"/>
    <w:rsid w:val="00A1117E"/>
    <w:rsid w:val="00A12814"/>
    <w:rsid w:val="00A24BAC"/>
    <w:rsid w:val="00A370AD"/>
    <w:rsid w:val="00A3789D"/>
    <w:rsid w:val="00A501A9"/>
    <w:rsid w:val="00A77BBF"/>
    <w:rsid w:val="00A91C23"/>
    <w:rsid w:val="00A92DE9"/>
    <w:rsid w:val="00AB1BAE"/>
    <w:rsid w:val="00AB2323"/>
    <w:rsid w:val="00AD16F1"/>
    <w:rsid w:val="00AF1987"/>
    <w:rsid w:val="00B067FB"/>
    <w:rsid w:val="00B10596"/>
    <w:rsid w:val="00B2202E"/>
    <w:rsid w:val="00B26C75"/>
    <w:rsid w:val="00B3573B"/>
    <w:rsid w:val="00B51DF4"/>
    <w:rsid w:val="00B5218C"/>
    <w:rsid w:val="00B6149B"/>
    <w:rsid w:val="00B809E7"/>
    <w:rsid w:val="00B8472C"/>
    <w:rsid w:val="00B9740E"/>
    <w:rsid w:val="00BB006C"/>
    <w:rsid w:val="00BB54AB"/>
    <w:rsid w:val="00BD668A"/>
    <w:rsid w:val="00BF1902"/>
    <w:rsid w:val="00BF2603"/>
    <w:rsid w:val="00BF689F"/>
    <w:rsid w:val="00C1280F"/>
    <w:rsid w:val="00C16AC7"/>
    <w:rsid w:val="00C25C22"/>
    <w:rsid w:val="00C26A2C"/>
    <w:rsid w:val="00C4394F"/>
    <w:rsid w:val="00C443C4"/>
    <w:rsid w:val="00C73649"/>
    <w:rsid w:val="00C75D04"/>
    <w:rsid w:val="00C9162B"/>
    <w:rsid w:val="00C95717"/>
    <w:rsid w:val="00C97824"/>
    <w:rsid w:val="00CA2B94"/>
    <w:rsid w:val="00CA57D0"/>
    <w:rsid w:val="00CC3A28"/>
    <w:rsid w:val="00CE120B"/>
    <w:rsid w:val="00CE68EB"/>
    <w:rsid w:val="00D17DCF"/>
    <w:rsid w:val="00D37ED3"/>
    <w:rsid w:val="00D57384"/>
    <w:rsid w:val="00D574E7"/>
    <w:rsid w:val="00D63A8D"/>
    <w:rsid w:val="00D80FB2"/>
    <w:rsid w:val="00D81B40"/>
    <w:rsid w:val="00D874B8"/>
    <w:rsid w:val="00DA055B"/>
    <w:rsid w:val="00DA2182"/>
    <w:rsid w:val="00DA53E6"/>
    <w:rsid w:val="00DB3B6D"/>
    <w:rsid w:val="00DC4F36"/>
    <w:rsid w:val="00DC520F"/>
    <w:rsid w:val="00DC5EF4"/>
    <w:rsid w:val="00DD100D"/>
    <w:rsid w:val="00DD31F1"/>
    <w:rsid w:val="00DE7B78"/>
    <w:rsid w:val="00DF2299"/>
    <w:rsid w:val="00DF3493"/>
    <w:rsid w:val="00E07461"/>
    <w:rsid w:val="00E2345E"/>
    <w:rsid w:val="00E374C9"/>
    <w:rsid w:val="00E40608"/>
    <w:rsid w:val="00E80B63"/>
    <w:rsid w:val="00E8378D"/>
    <w:rsid w:val="00E83DE6"/>
    <w:rsid w:val="00E874D7"/>
    <w:rsid w:val="00E970D1"/>
    <w:rsid w:val="00EC0442"/>
    <w:rsid w:val="00ED1D12"/>
    <w:rsid w:val="00EE12BF"/>
    <w:rsid w:val="00EE38D2"/>
    <w:rsid w:val="00F022DA"/>
    <w:rsid w:val="00F138D8"/>
    <w:rsid w:val="00F31F19"/>
    <w:rsid w:val="00F42F12"/>
    <w:rsid w:val="00F4621B"/>
    <w:rsid w:val="00F5778C"/>
    <w:rsid w:val="00F73A3E"/>
    <w:rsid w:val="00F772E4"/>
    <w:rsid w:val="00FA3A66"/>
    <w:rsid w:val="00FB2A34"/>
    <w:rsid w:val="00FD70B0"/>
    <w:rsid w:val="00FE19FC"/>
    <w:rsid w:val="00FE4ECA"/>
    <w:rsid w:val="00FF7F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88CF2B"/>
  <w15:docId w15:val="{1CB0E1AC-4863-45BA-9BC4-A6ECBDF8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8F0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776174700">
      <w:bodyDiv w:val="1"/>
      <w:marLeft w:val="0"/>
      <w:marRight w:val="0"/>
      <w:marTop w:val="0"/>
      <w:marBottom w:val="0"/>
      <w:divBdr>
        <w:top w:val="none" w:sz="0" w:space="0" w:color="auto"/>
        <w:left w:val="none" w:sz="0" w:space="0" w:color="auto"/>
        <w:bottom w:val="none" w:sz="0" w:space="0" w:color="auto"/>
        <w:right w:val="none" w:sz="0" w:space="0" w:color="auto"/>
      </w:divBdr>
    </w:div>
    <w:div w:id="918246178">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1352997240">
      <w:bodyDiv w:val="1"/>
      <w:marLeft w:val="0"/>
      <w:marRight w:val="0"/>
      <w:marTop w:val="0"/>
      <w:marBottom w:val="0"/>
      <w:divBdr>
        <w:top w:val="none" w:sz="0" w:space="0" w:color="auto"/>
        <w:left w:val="none" w:sz="0" w:space="0" w:color="auto"/>
        <w:bottom w:val="none" w:sz="0" w:space="0" w:color="auto"/>
        <w:right w:val="none" w:sz="0" w:space="0" w:color="auto"/>
      </w:divBdr>
    </w:div>
    <w:div w:id="1943610372">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FR/TXT/HTML/?uri=CELEX:32016R0679R(02)&amp;qid=1528814703534&amp;from=en" TargetMode="External"/><Relationship Id="rId2" Type="http://schemas.openxmlformats.org/officeDocument/2006/relationships/hyperlink" Target="https://www.sherpa.ac.uk/romeo/" TargetMode="External"/><Relationship Id="rId1" Type="http://schemas.openxmlformats.org/officeDocument/2006/relationships/hyperlink" Target="https://www.legifrance.gouv.fr/jorf/id/JORFTEXT000044362034" TargetMode="External"/><Relationship Id="rId4" Type="http://schemas.openxmlformats.org/officeDocument/2006/relationships/hyperlink" Target="https://www.niso.org/standards-committees/transf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39B12-136A-4B91-8BAA-FF7A2B9E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18</Pages>
  <Words>6417</Words>
  <Characters>35496</Characters>
  <Application>Microsoft Office Word</Application>
  <DocSecurity>0</DocSecurity>
  <Lines>295</Lines>
  <Paragraphs>83</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41830</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Emilie Liard</cp:lastModifiedBy>
  <cp:revision>3</cp:revision>
  <cp:lastPrinted>2020-01-28T09:25:00Z</cp:lastPrinted>
  <dcterms:created xsi:type="dcterms:W3CDTF">2023-09-06T12:32:00Z</dcterms:created>
  <dcterms:modified xsi:type="dcterms:W3CDTF">2023-09-06T13:28:00Z</dcterms:modified>
</cp:coreProperties>
</file>